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FF" w:rsidRDefault="00BB10FF" w:rsidP="00F246EE">
      <w:pPr>
        <w:pBdr>
          <w:top w:val="single" w:sz="4" w:space="1" w:color="00000A"/>
          <w:left w:val="single" w:sz="4" w:space="4" w:color="00000A"/>
          <w:right w:val="single" w:sz="4" w:space="4" w:color="00000A"/>
        </w:pBdr>
        <w:spacing w:after="0" w:line="240" w:lineRule="auto"/>
        <w:jc w:val="center"/>
        <w:rPr>
          <w:rFonts w:ascii="Times New Roman" w:eastAsia="Times New Roman" w:hAnsi="Times New Roman" w:cs="Times New Roman"/>
          <w:b/>
          <w:bCs/>
          <w:color w:val="000000"/>
          <w:sz w:val="24"/>
          <w:szCs w:val="24"/>
        </w:rPr>
      </w:pPr>
    </w:p>
    <w:p w:rsidR="00F246EE" w:rsidRPr="00F246EE" w:rsidRDefault="00F246EE" w:rsidP="00F246EE">
      <w:pPr>
        <w:pBdr>
          <w:top w:val="single" w:sz="4" w:space="1" w:color="00000A"/>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 xml:space="preserve">CIVIL SOCIETY PROPOSED TREATY </w:t>
      </w:r>
    </w:p>
    <w:p w:rsidR="00F246EE" w:rsidRPr="00F246EE" w:rsidRDefault="00F246EE" w:rsidP="00F246EE">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 xml:space="preserve">ON </w:t>
      </w:r>
    </w:p>
    <w:p w:rsidR="00F246EE" w:rsidRPr="00F246EE" w:rsidRDefault="00F246EE" w:rsidP="00F246EE">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COPYRIGHT EXCEPTIONS AND LIMITATION FOR EDUCATIONAL AND RESEARCH ACTIVITIES</w:t>
      </w:r>
    </w:p>
    <w:p w:rsidR="00F246EE" w:rsidRPr="00F246EE" w:rsidRDefault="00F246EE" w:rsidP="00F246EE">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(TERA)</w:t>
      </w:r>
    </w:p>
    <w:p w:rsidR="005C7CCD" w:rsidRPr="005C7CCD" w:rsidRDefault="00F246EE" w:rsidP="005C7CCD">
      <w:pPr>
        <w:pBdr>
          <w:left w:val="single" w:sz="4" w:space="4" w:color="00000A"/>
          <w:right w:val="single" w:sz="4" w:space="4" w:color="00000A"/>
        </w:pBd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sz w:val="24"/>
          <w:szCs w:val="24"/>
        </w:rPr>
        <w:t> </w:t>
      </w:r>
    </w:p>
    <w:p w:rsidR="00F246EE" w:rsidRPr="00F246EE" w:rsidRDefault="00F246EE" w:rsidP="00F246EE">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 xml:space="preserve">EDUCATION INTERNATIONAL; ELECTRONIC INFORMATION FOR LIBRARIES; COMMUNIA; GLOBAL EXPERT NETWORK ON COPYRIGHT USER RIGHTS; KNOWLEDGE ECOLOGY INTERNATIONAL; MEDICINE OPEN ACCESS INITIATIVE INTERNATIONAL </w:t>
      </w:r>
    </w:p>
    <w:p w:rsidR="00F246EE" w:rsidRPr="00F246EE" w:rsidRDefault="00F246EE" w:rsidP="00F246EE">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bookmarkStart w:id="0" w:name="_GoBack"/>
      <w:bookmarkEnd w:id="0"/>
      <w:r w:rsidRPr="00F246EE">
        <w:rPr>
          <w:rFonts w:ascii="Times New Roman" w:eastAsia="Times New Roman" w:hAnsi="Times New Roman" w:cs="Times New Roman"/>
          <w:b/>
          <w:bCs/>
          <w:color w:val="000000"/>
          <w:sz w:val="24"/>
          <w:szCs w:val="24"/>
        </w:rPr>
        <w:t>FUNDACIÓN KARMISMA COLOMBIA; CENTRE FOR INTERNET AND SOCIETY INDIA; CORPORACION INNOVARTE CHILE; LAPIN BRAZIL; CENTRUM CYFROWE FOUNDATION POLAND; INTELLECTUAL PROPERTY INSTITUTE SLOVENIA; CREATIVE COMMONS USA; NATIONAL LAW UNIVERSITY INDIA; UNIVERSITIES ALLIED FOR ESSENTIAL MEDICINES USA</w:t>
      </w:r>
      <w:r w:rsidR="00140AEF">
        <w:rPr>
          <w:rFonts w:ascii="Times New Roman" w:eastAsia="Times New Roman" w:hAnsi="Times New Roman" w:cs="Times New Roman"/>
          <w:b/>
          <w:bCs/>
          <w:color w:val="000000"/>
          <w:sz w:val="24"/>
          <w:szCs w:val="24"/>
        </w:rPr>
        <w:t>;</w:t>
      </w:r>
      <w:r w:rsidR="00140AEF" w:rsidRPr="00140AEF">
        <w:rPr>
          <w:rFonts w:ascii="Times New Roman" w:eastAsia="Times New Roman" w:hAnsi="Times New Roman" w:cs="Times New Roman"/>
          <w:b/>
          <w:bCs/>
          <w:caps/>
          <w:color w:val="000000"/>
          <w:sz w:val="24"/>
          <w:szCs w:val="24"/>
        </w:rPr>
        <w:t xml:space="preserve"> University of Cape Town Intellectual Property Unit</w:t>
      </w:r>
      <w:r w:rsidR="00140AEF">
        <w:rPr>
          <w:rFonts w:ascii="Times New Roman" w:eastAsia="Times New Roman" w:hAnsi="Times New Roman" w:cs="Times New Roman"/>
          <w:b/>
          <w:bCs/>
          <w:caps/>
          <w:color w:val="000000"/>
          <w:sz w:val="24"/>
          <w:szCs w:val="24"/>
        </w:rPr>
        <w:t xml:space="preserve">; </w:t>
      </w:r>
      <w:r w:rsidR="00140AEF" w:rsidRPr="00140AEF">
        <w:rPr>
          <w:rFonts w:ascii="Times New Roman" w:eastAsia="Times New Roman" w:hAnsi="Times New Roman" w:cs="Times New Roman"/>
          <w:b/>
          <w:bCs/>
          <w:caps/>
          <w:color w:val="000000"/>
          <w:sz w:val="24"/>
          <w:szCs w:val="24"/>
        </w:rPr>
        <w:t>Derechos Digitales</w:t>
      </w:r>
      <w:r w:rsidR="00140AEF">
        <w:rPr>
          <w:rFonts w:ascii="Times New Roman" w:eastAsia="Times New Roman" w:hAnsi="Times New Roman" w:cs="Times New Roman"/>
          <w:b/>
          <w:bCs/>
          <w:caps/>
          <w:color w:val="000000"/>
          <w:sz w:val="24"/>
          <w:szCs w:val="24"/>
        </w:rPr>
        <w:t xml:space="preserve">, chile; </w:t>
      </w:r>
      <w:r w:rsidR="00140AEF" w:rsidRPr="00140AEF">
        <w:rPr>
          <w:rFonts w:ascii="Times New Roman" w:eastAsia="Times New Roman" w:hAnsi="Times New Roman" w:cs="Times New Roman"/>
          <w:b/>
          <w:bCs/>
          <w:caps/>
          <w:color w:val="000000"/>
          <w:sz w:val="24"/>
          <w:szCs w:val="24"/>
        </w:rPr>
        <w:t>Right2Know Campaign</w:t>
      </w:r>
      <w:r w:rsidR="00140AEF">
        <w:rPr>
          <w:rFonts w:ascii="Times New Roman" w:eastAsia="Times New Roman" w:hAnsi="Times New Roman" w:cs="Times New Roman"/>
          <w:b/>
          <w:bCs/>
          <w:caps/>
          <w:color w:val="000000"/>
          <w:sz w:val="24"/>
          <w:szCs w:val="24"/>
        </w:rPr>
        <w:t xml:space="preserve">, South africa; </w:t>
      </w:r>
      <w:r w:rsidR="00140AEF" w:rsidRPr="00140AEF">
        <w:rPr>
          <w:rFonts w:ascii="Times New Roman" w:eastAsia="Times New Roman" w:hAnsi="Times New Roman" w:cs="Times New Roman"/>
          <w:b/>
          <w:bCs/>
          <w:caps/>
          <w:color w:val="000000"/>
          <w:sz w:val="24"/>
          <w:szCs w:val="24"/>
        </w:rPr>
        <w:t>Electronic Frontier Foundation</w:t>
      </w:r>
      <w:r w:rsidR="00140AEF">
        <w:rPr>
          <w:rFonts w:ascii="Times New Roman" w:eastAsia="Times New Roman" w:hAnsi="Times New Roman" w:cs="Times New Roman"/>
          <w:b/>
          <w:bCs/>
          <w:caps/>
          <w:color w:val="000000"/>
          <w:sz w:val="24"/>
          <w:szCs w:val="24"/>
        </w:rPr>
        <w:t xml:space="preserve">, USA; </w:t>
      </w:r>
      <w:r w:rsidR="00140AEF" w:rsidRPr="00140AEF">
        <w:rPr>
          <w:rFonts w:ascii="Times New Roman" w:eastAsia="Times New Roman" w:hAnsi="Times New Roman" w:cs="Times New Roman"/>
          <w:b/>
          <w:bCs/>
          <w:caps/>
          <w:color w:val="000000"/>
          <w:sz w:val="24"/>
          <w:szCs w:val="24"/>
        </w:rPr>
        <w:t>Mona ICT Policy Research Centre</w:t>
      </w:r>
      <w:r w:rsidR="00140AEF">
        <w:rPr>
          <w:rFonts w:ascii="Times New Roman" w:eastAsia="Times New Roman" w:hAnsi="Times New Roman" w:cs="Times New Roman"/>
          <w:b/>
          <w:bCs/>
          <w:caps/>
          <w:color w:val="000000"/>
          <w:sz w:val="24"/>
          <w:szCs w:val="24"/>
        </w:rPr>
        <w:t xml:space="preserve">, JAMAICA; </w:t>
      </w:r>
      <w:r w:rsidR="00140AEF" w:rsidRPr="00140AEF">
        <w:rPr>
          <w:rFonts w:ascii="Times New Roman" w:eastAsia="Times New Roman" w:hAnsi="Times New Roman" w:cs="Times New Roman"/>
          <w:b/>
          <w:bCs/>
          <w:caps/>
          <w:color w:val="000000"/>
          <w:sz w:val="24"/>
          <w:szCs w:val="24"/>
        </w:rPr>
        <w:t>Centre for Innovation in Learning and Teaching</w:t>
      </w:r>
      <w:r w:rsidR="00140AEF">
        <w:rPr>
          <w:rFonts w:ascii="Times New Roman" w:eastAsia="Times New Roman" w:hAnsi="Times New Roman" w:cs="Times New Roman"/>
          <w:b/>
          <w:bCs/>
          <w:caps/>
          <w:color w:val="000000"/>
          <w:sz w:val="24"/>
          <w:szCs w:val="24"/>
        </w:rPr>
        <w:t xml:space="preserve">,UNIVERSITY OF CAPE TOWN; </w:t>
      </w:r>
      <w:r w:rsidR="00140AEF" w:rsidRPr="00140AEF">
        <w:rPr>
          <w:rFonts w:ascii="Times New Roman" w:eastAsia="Times New Roman" w:hAnsi="Times New Roman" w:cs="Times New Roman"/>
          <w:b/>
          <w:bCs/>
          <w:caps/>
          <w:color w:val="000000"/>
          <w:sz w:val="24"/>
          <w:szCs w:val="24"/>
        </w:rPr>
        <w:t>Institute Proprietas</w:t>
      </w:r>
      <w:r w:rsidR="00140AEF">
        <w:rPr>
          <w:rFonts w:ascii="Times New Roman" w:eastAsia="Times New Roman" w:hAnsi="Times New Roman" w:cs="Times New Roman"/>
          <w:b/>
          <w:bCs/>
          <w:caps/>
          <w:color w:val="000000"/>
          <w:sz w:val="24"/>
          <w:szCs w:val="24"/>
        </w:rPr>
        <w:t xml:space="preserve">, BRAZIL; </w:t>
      </w:r>
      <w:r w:rsidR="00140AEF" w:rsidRPr="00140AEF">
        <w:rPr>
          <w:rFonts w:ascii="Times New Roman" w:eastAsia="Times New Roman" w:hAnsi="Times New Roman" w:cs="Times New Roman"/>
          <w:b/>
          <w:bCs/>
          <w:caps/>
          <w:color w:val="000000"/>
          <w:sz w:val="24"/>
          <w:szCs w:val="24"/>
        </w:rPr>
        <w:t>National coalition of people living with HIV in India</w:t>
      </w:r>
      <w:r w:rsidR="00140AEF">
        <w:rPr>
          <w:rFonts w:ascii="Times New Roman" w:eastAsia="Times New Roman" w:hAnsi="Times New Roman" w:cs="Times New Roman"/>
          <w:b/>
          <w:bCs/>
          <w:caps/>
          <w:color w:val="000000"/>
          <w:sz w:val="24"/>
          <w:szCs w:val="24"/>
        </w:rPr>
        <w:t xml:space="preserve">; </w:t>
      </w:r>
      <w:r w:rsidR="009160B3" w:rsidRPr="009160B3">
        <w:rPr>
          <w:rFonts w:ascii="Times New Roman" w:eastAsia="Times New Roman" w:hAnsi="Times New Roman" w:cs="Times New Roman"/>
          <w:b/>
          <w:bCs/>
          <w:caps/>
          <w:color w:val="000000"/>
          <w:sz w:val="24"/>
          <w:szCs w:val="24"/>
        </w:rPr>
        <w:t>IP Justice</w:t>
      </w:r>
      <w:r w:rsidR="009160B3">
        <w:rPr>
          <w:rFonts w:ascii="Times New Roman" w:eastAsia="Times New Roman" w:hAnsi="Times New Roman" w:cs="Times New Roman"/>
          <w:b/>
          <w:bCs/>
          <w:caps/>
          <w:color w:val="000000"/>
          <w:sz w:val="24"/>
          <w:szCs w:val="24"/>
        </w:rPr>
        <w:t xml:space="preserve">, USA; </w:t>
      </w:r>
      <w:r w:rsidR="009160B3" w:rsidRPr="009160B3">
        <w:rPr>
          <w:rFonts w:ascii="Times New Roman" w:eastAsia="Times New Roman" w:hAnsi="Times New Roman" w:cs="Times New Roman"/>
          <w:b/>
          <w:bCs/>
          <w:caps/>
          <w:color w:val="000000"/>
          <w:sz w:val="24"/>
          <w:szCs w:val="24"/>
        </w:rPr>
        <w:t>Universities Allied For Essential Medicines</w:t>
      </w:r>
      <w:r w:rsidR="00973459">
        <w:rPr>
          <w:rFonts w:ascii="Times New Roman" w:eastAsia="Times New Roman" w:hAnsi="Times New Roman" w:cs="Times New Roman"/>
          <w:b/>
          <w:bCs/>
          <w:caps/>
          <w:color w:val="000000"/>
          <w:sz w:val="24"/>
          <w:szCs w:val="24"/>
        </w:rPr>
        <w:t>, USA</w:t>
      </w:r>
    </w:p>
    <w:p w:rsidR="00F246EE" w:rsidRPr="00F246EE" w:rsidRDefault="00F246EE" w:rsidP="00973459">
      <w:pPr>
        <w:pBdr>
          <w:left w:val="single" w:sz="4" w:space="4" w:color="00000A"/>
          <w:right w:val="single" w:sz="4" w:space="4" w:color="00000A"/>
        </w:pBd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sz w:val="24"/>
          <w:szCs w:val="24"/>
        </w:rPr>
        <w:t> </w:t>
      </w:r>
    </w:p>
    <w:p w:rsidR="00F246EE" w:rsidRPr="00F246EE" w:rsidRDefault="00F246EE" w:rsidP="00F246EE">
      <w:pPr>
        <w:pBdr>
          <w:left w:val="single" w:sz="4" w:space="4" w:color="00000A"/>
          <w:bottom w:val="single" w:sz="4" w:space="1" w:color="00000A"/>
          <w:right w:val="single" w:sz="4" w:space="4" w:color="00000A"/>
        </w:pBd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sz w:val="24"/>
          <w:szCs w:val="24"/>
        </w:rPr>
        <w:t>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Preamble</w:t>
      </w:r>
      <w:r>
        <w:rPr>
          <w:rStyle w:val="Appelnotedebasdep"/>
          <w:rFonts w:ascii="Times New Roman" w:eastAsia="Times New Roman" w:hAnsi="Times New Roman" w:cs="Times New Roman"/>
          <w:b/>
          <w:bCs/>
          <w:color w:val="000000"/>
          <w:sz w:val="24"/>
          <w:szCs w:val="24"/>
        </w:rPr>
        <w:footnoteReference w:id="1"/>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The Contracting Parties,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i/>
          <w:iCs/>
          <w:color w:val="000000"/>
          <w:sz w:val="24"/>
          <w:szCs w:val="24"/>
        </w:rPr>
        <w:t>Affirming</w:t>
      </w:r>
      <w:r w:rsidRPr="00F246EE">
        <w:rPr>
          <w:rFonts w:ascii="Times New Roman" w:eastAsia="Times New Roman" w:hAnsi="Times New Roman" w:cs="Times New Roman"/>
          <w:color w:val="000000"/>
          <w:sz w:val="24"/>
          <w:szCs w:val="24"/>
        </w:rPr>
        <w:t xml:space="preserve"> that adopting policies to promote production of and access to affordable and quality education and research materials - for education institutions, teachers, students, education support personnel and researchers -- is a core duty of Members States and of the World Intellectual Property Organization as a Specialized United Nations Agency.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i/>
          <w:iCs/>
          <w:color w:val="000000"/>
          <w:sz w:val="24"/>
          <w:szCs w:val="24"/>
        </w:rPr>
        <w:t xml:space="preserve">Acknowledging </w:t>
      </w:r>
      <w:r w:rsidRPr="00F246EE">
        <w:rPr>
          <w:rFonts w:ascii="Times New Roman" w:eastAsia="Times New Roman" w:hAnsi="Times New Roman" w:cs="Times New Roman"/>
          <w:color w:val="000000"/>
          <w:sz w:val="24"/>
          <w:szCs w:val="24"/>
        </w:rPr>
        <w:t>duties to promote production of and access to affordable and quality education and research materials that flow from:</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-United Nations’ Sustainable Development Goals, particularly Goal 4 Quality Education, Goal 5 Gender Equality, Goal 9 Industry, Innovation, and Infrastructure and Goal 10 Reduced Inequalities;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-the right to education directed to the full development of the human personality to enable all persons to participate effectively in a free society;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lastRenderedPageBreak/>
        <w:t>-the right to freedom of expression, including freedom to seek, receive and impart information and ideas of all kinds, regardless of frontiers, either orally, in writing or in print, in the form of art, or through any other media of his choice;</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-the right freely to participate in the cultural life of the community, including to enjoy the arts and to share in scientific advancement and its benefits; and</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-the objectives of intellectual property rights to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i/>
          <w:iCs/>
          <w:color w:val="222222"/>
          <w:sz w:val="24"/>
          <w:szCs w:val="24"/>
          <w:shd w:val="clear" w:color="auto" w:fill="FFFFFF"/>
        </w:rPr>
        <w:t>Aware</w:t>
      </w:r>
      <w:r w:rsidRPr="00F246EE">
        <w:rPr>
          <w:rFonts w:ascii="Times New Roman" w:eastAsia="Times New Roman" w:hAnsi="Times New Roman" w:cs="Times New Roman"/>
          <w:color w:val="222222"/>
          <w:sz w:val="24"/>
          <w:szCs w:val="24"/>
          <w:shd w:val="clear" w:color="auto" w:fill="FFFFFF"/>
        </w:rPr>
        <w:t xml:space="preserve"> of the United Nations’ recognition of quality education, gender equality, innovation, and reduced inequalities as sustainable development goals;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i/>
          <w:iCs/>
          <w:color w:val="000000"/>
          <w:sz w:val="24"/>
          <w:szCs w:val="24"/>
        </w:rPr>
        <w:t>Acknowledging</w:t>
      </w:r>
      <w:r w:rsidRPr="00F246EE">
        <w:rPr>
          <w:rFonts w:ascii="Times New Roman" w:eastAsia="Times New Roman" w:hAnsi="Times New Roman" w:cs="Times New Roman"/>
          <w:color w:val="000000"/>
          <w:sz w:val="24"/>
          <w:szCs w:val="24"/>
        </w:rPr>
        <w:t xml:space="preserve"> that human rights obligations impose duties on states and international organizations to act affirmatively through legislative and other measures to respect, protect and fulfil their mandates, including through binding international instruments;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i/>
          <w:iCs/>
          <w:color w:val="000000"/>
          <w:sz w:val="24"/>
          <w:szCs w:val="24"/>
        </w:rPr>
        <w:t>Affirming</w:t>
      </w:r>
      <w:r w:rsidRPr="00F246EE">
        <w:rPr>
          <w:rFonts w:ascii="Times New Roman" w:eastAsia="Times New Roman" w:hAnsi="Times New Roman" w:cs="Times New Roman"/>
          <w:color w:val="000000"/>
          <w:sz w:val="24"/>
          <w:szCs w:val="24"/>
        </w:rPr>
        <w:t xml:space="preserve"> that that human rights duties to safeguard the right to the protection of the moral and material interests resulting from one’s scientific, literary and artistic productions is subject to limitations and must be balanced with other human rights, including the rights to education, to free expression, and to participate in cultural life;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i/>
          <w:iCs/>
          <w:color w:val="000000"/>
          <w:sz w:val="24"/>
          <w:szCs w:val="24"/>
        </w:rPr>
        <w:t>Recognizing</w:t>
      </w:r>
      <w:r w:rsidRPr="00F246EE">
        <w:rPr>
          <w:rFonts w:ascii="Times New Roman" w:eastAsia="Times New Roman" w:hAnsi="Times New Roman" w:cs="Times New Roman"/>
          <w:color w:val="000000"/>
          <w:sz w:val="24"/>
          <w:szCs w:val="24"/>
        </w:rPr>
        <w:t xml:space="preserve"> the need for a global approach to copyright exceptions and limitations and a minimum level of international harmonization of limitations and exceptions to secure the effective and unhindered flow of information essential for global equality of access to research, ideas and innovation;</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i/>
          <w:iCs/>
          <w:color w:val="000000"/>
          <w:sz w:val="24"/>
          <w:szCs w:val="24"/>
        </w:rPr>
        <w:t xml:space="preserve">Reaffirming </w:t>
      </w:r>
      <w:r w:rsidRPr="00F246EE">
        <w:rPr>
          <w:rFonts w:ascii="Times New Roman" w:eastAsia="Times New Roman" w:hAnsi="Times New Roman" w:cs="Times New Roman"/>
          <w:color w:val="000000"/>
          <w:sz w:val="24"/>
          <w:szCs w:val="24"/>
        </w:rPr>
        <w:t xml:space="preserve">obligations under the existing international treaties on the protection of copyright and the importance of the exceptions for quotations and illustration for teaching in Articles 10(1) and 10(2) of the Berne Convention for the Protection of Literary and Artistic Works and other international agreements.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Hereby agree as follows: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 xml:space="preserve">I. General Provisions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 xml:space="preserve">Article 1 </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Relationship with Other International Instruments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1</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Nothing in this Treaty reduces the limitations and exceptions permitted, where appropriate, by international instruments, including in particular:</w:t>
      </w:r>
      <w:r w:rsidR="00973459">
        <w:rPr>
          <w:rStyle w:val="Appelnotedebasdep"/>
          <w:rFonts w:ascii="Times New Roman" w:eastAsia="Times New Roman" w:hAnsi="Times New Roman" w:cs="Times New Roman"/>
          <w:color w:val="000000"/>
          <w:sz w:val="24"/>
          <w:szCs w:val="24"/>
        </w:rPr>
        <w:footnoteReference w:id="2"/>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lastRenderedPageBreak/>
        <w:t>a) the Berne Convention for the Protection of Literary and Artistic Works, 1886 as amended (Berne Convention);</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b) the WIPO Copyright Treaty, 1996 (WCT);</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c) the International Convention for the Protection of Performers, Producers of Phonograms and Broadcasting Organizations, 1961 (Rome Convention);</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d) the WIPO Performances and Phonograms Treaty, 1996 (WPPT);</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e) the WTO Agreement on Trade-Related Aspects of Intellectual Property Rights, 1994 (TRIPS Agreement);</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f) the WIPO Marrakesh Treaty to Facilitate Access to Published Works for Persons Who are Blind, Visually Impaired, or otherwise Print Disabled, 2013 (Marrakesh Treaty); and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g) the WIPO Beijing Treaty on Audiovisual Performances, 2012 (Beijing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2</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Contracting Parties agree that, to the extent that this Treaty applies in part to literary and artistic works as defined in the Berne Convention, this Treaty is a special agreement within the meaning of Articles 1</w:t>
      </w:r>
      <w:r w:rsidR="00973459">
        <w:rPr>
          <w:rFonts w:ascii="Times New Roman" w:eastAsia="Times New Roman" w:hAnsi="Times New Roman" w:cs="Times New Roman"/>
          <w:color w:val="000000"/>
          <w:sz w:val="24"/>
          <w:szCs w:val="24"/>
        </w:rPr>
        <w:t xml:space="preserve">0(2) and 20 of that Convention </w:t>
      </w:r>
      <w:r w:rsidRPr="00F246EE">
        <w:rPr>
          <w:rFonts w:ascii="Times New Roman" w:eastAsia="Times New Roman" w:hAnsi="Times New Roman" w:cs="Times New Roman"/>
          <w:color w:val="000000"/>
          <w:sz w:val="24"/>
          <w:szCs w:val="24"/>
        </w:rPr>
        <w:t>as regards Contracting Parties that are Member States of the Union</w:t>
      </w:r>
      <w:r w:rsidR="00973459">
        <w:rPr>
          <w:rFonts w:ascii="Times New Roman" w:eastAsia="Times New Roman" w:hAnsi="Times New Roman" w:cs="Times New Roman"/>
          <w:color w:val="000000"/>
          <w:sz w:val="24"/>
          <w:szCs w:val="24"/>
        </w:rPr>
        <w:t xml:space="preserve"> established by that Convention</w:t>
      </w:r>
      <w:r w:rsidRPr="00F246EE">
        <w:rPr>
          <w:rFonts w:ascii="Times New Roman" w:eastAsia="Times New Roman" w:hAnsi="Times New Roman" w:cs="Times New Roman"/>
          <w:color w:val="000000"/>
          <w:sz w:val="24"/>
          <w:szCs w:val="24"/>
        </w:rPr>
        <w:t>.</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3</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Contracting Parties agree that, to the extent that this Treaty applies in part to performances, phonograms, and broadcasts as defined in the Rome Convention, this Treaty is a special agreement within the meaning of</w:t>
      </w:r>
      <w:r w:rsidR="00973459">
        <w:rPr>
          <w:rFonts w:ascii="Times New Roman" w:eastAsia="Times New Roman" w:hAnsi="Times New Roman" w:cs="Times New Roman"/>
          <w:color w:val="000000"/>
          <w:sz w:val="24"/>
          <w:szCs w:val="24"/>
        </w:rPr>
        <w:t xml:space="preserve"> Article 22 of that Convention </w:t>
      </w:r>
      <w:r w:rsidRPr="00F246EE">
        <w:rPr>
          <w:rFonts w:ascii="Times New Roman" w:eastAsia="Times New Roman" w:hAnsi="Times New Roman" w:cs="Times New Roman"/>
          <w:color w:val="000000"/>
          <w:sz w:val="24"/>
          <w:szCs w:val="24"/>
        </w:rPr>
        <w:t>as regards Contracting Parties that are</w:t>
      </w:r>
      <w:r w:rsidR="00973459">
        <w:rPr>
          <w:rFonts w:ascii="Times New Roman" w:eastAsia="Times New Roman" w:hAnsi="Times New Roman" w:cs="Times New Roman"/>
          <w:color w:val="000000"/>
          <w:sz w:val="24"/>
          <w:szCs w:val="24"/>
        </w:rPr>
        <w:t xml:space="preserve"> signatories of that Convention</w:t>
      </w:r>
      <w:r w:rsidRPr="00F246EE">
        <w:rPr>
          <w:rFonts w:ascii="Times New Roman" w:eastAsia="Times New Roman" w:hAnsi="Times New Roman" w:cs="Times New Roman"/>
          <w:color w:val="000000"/>
          <w:sz w:val="24"/>
          <w:szCs w:val="24"/>
        </w:rPr>
        <w:t>.</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4</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Contracting Parties agree that treaties entered into subsequent to this Treaty do not limit this Treaty’s provisions unless such treaties expressly limit this Treaty’s applicability. </w:t>
      </w:r>
    </w:p>
    <w:p w:rsidR="00F246EE" w:rsidRPr="00F246EE" w:rsidRDefault="00F246EE" w:rsidP="00F246EE">
      <w:pPr>
        <w:spacing w:after="24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2</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Beneficiaries and Scope of Protection</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Under this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1</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Contracting Parties shall accord the protection provided under this Treaty to any natural or legal person engaged in an educational or research activity within the territory of any Contracting Party.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2</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The provisions in this Treaty shall apply to educational and research uses of published and unpublished works, in any format. </w:t>
      </w:r>
    </w:p>
    <w:p w:rsidR="00F246EE" w:rsidRPr="00F246EE" w:rsidRDefault="00F246EE" w:rsidP="00F246EE">
      <w:pPr>
        <w:spacing w:after="24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90" w:hanging="270"/>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II. National Law Limitations and Exceptions Regarding Educational and Research Uses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outlineLvl w:val="0"/>
        <w:rPr>
          <w:rFonts w:ascii="Times New Roman" w:eastAsia="Times New Roman" w:hAnsi="Times New Roman" w:cs="Times New Roman"/>
          <w:b/>
          <w:bCs/>
          <w:kern w:val="36"/>
          <w:sz w:val="48"/>
          <w:szCs w:val="48"/>
        </w:rPr>
      </w:pPr>
      <w:r w:rsidRPr="00F246EE">
        <w:rPr>
          <w:rFonts w:ascii="Times New Roman" w:eastAsia="Times New Roman" w:hAnsi="Times New Roman" w:cs="Times New Roman"/>
          <w:b/>
          <w:bCs/>
          <w:color w:val="000000"/>
          <w:kern w:val="36"/>
          <w:sz w:val="24"/>
          <w:szCs w:val="24"/>
        </w:rPr>
        <w:lastRenderedPageBreak/>
        <w:t>Article 3</w:t>
      </w:r>
    </w:p>
    <w:p w:rsidR="00F246EE" w:rsidRPr="00F246EE" w:rsidRDefault="00F246EE" w:rsidP="00F246EE">
      <w:pPr>
        <w:spacing w:after="0" w:line="240" w:lineRule="auto"/>
        <w:jc w:val="center"/>
        <w:outlineLvl w:val="0"/>
        <w:rPr>
          <w:rFonts w:ascii="Times New Roman" w:eastAsia="Times New Roman" w:hAnsi="Times New Roman" w:cs="Times New Roman"/>
          <w:b/>
          <w:bCs/>
          <w:kern w:val="36"/>
          <w:sz w:val="48"/>
          <w:szCs w:val="48"/>
        </w:rPr>
      </w:pPr>
      <w:r w:rsidRPr="00F246EE">
        <w:rPr>
          <w:rFonts w:ascii="Times New Roman" w:eastAsia="Times New Roman" w:hAnsi="Times New Roman" w:cs="Times New Roman"/>
          <w:b/>
          <w:bCs/>
          <w:color w:val="000000"/>
          <w:kern w:val="36"/>
          <w:sz w:val="24"/>
          <w:szCs w:val="24"/>
        </w:rPr>
        <w:t>Adoption of National Exceptions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1. Contracting Parties shall take all appropriate measures to respect, protect and fulfill the right to receive education and conduct research through appropriate exceptions and limitations in their national laws, consistent with their international obligations, maintaining the balance between the rights of authors and the larger public interest, as specified in Article 5.</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2. Contracting Parties may fulfill their rights and obligations under this Treaty through limitations or exceptions specifically for educational and research purposes; other limitations or exceptions; or a combination thereof, within their national legal systems and practice. These may include judicial, administrative, or regulatory determinations as to fair practices, uses, or dealings to meet their needs consistent with the Contracting Parties’ rights and obligations under the Berne Convention, and other international treaties.</w:t>
      </w:r>
    </w:p>
    <w:p w:rsidR="00F246EE" w:rsidRPr="00F246EE" w:rsidRDefault="00F246EE" w:rsidP="00F246EE">
      <w:pPr>
        <w:spacing w:after="24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4</w:t>
      </w:r>
      <w:r>
        <w:rPr>
          <w:rStyle w:val="Appelnotedebasdep"/>
          <w:rFonts w:ascii="Times New Roman" w:eastAsia="Times New Roman" w:hAnsi="Times New Roman" w:cs="Times New Roman"/>
          <w:b/>
          <w:bCs/>
          <w:color w:val="000000"/>
          <w:sz w:val="24"/>
          <w:szCs w:val="24"/>
        </w:rPr>
        <w:footnoteReference w:id="3"/>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 xml:space="preserve">  Guiding Principles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In fulfilling their rights and obligations under this Treaty, Contracting Parties shall recognize that:</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BB10FF" w:rsidP="00F246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F246EE" w:rsidRPr="00F246EE">
        <w:rPr>
          <w:rFonts w:ascii="Times New Roman" w:eastAsia="Times New Roman" w:hAnsi="Times New Roman" w:cs="Times New Roman"/>
          <w:color w:val="000000"/>
          <w:sz w:val="24"/>
          <w:szCs w:val="24"/>
        </w:rPr>
        <w:t xml:space="preserve"> Both affirmative protections for authors and exceptions and limitations, including those for educational and research activities, are vital to achieving the copyright system’s goals of encouraging creativity, innovation, and learning.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b</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Exceptions and limitations for education and research support the core functions of educational institutions at all levels, by facilitating access to and dissemination of knowledge for teaching and learning.</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c</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Exceptions and limitations for education and research also further societal goals by helping individuals to achieve their potential and to participate meaningfully in public life.</w:t>
      </w: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BB10FF" w:rsidP="00F246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F246EE" w:rsidRPr="00F246EE">
        <w:rPr>
          <w:rFonts w:ascii="Times New Roman" w:eastAsia="Times New Roman" w:hAnsi="Times New Roman" w:cs="Times New Roman"/>
          <w:color w:val="000000"/>
          <w:sz w:val="24"/>
          <w:szCs w:val="24"/>
        </w:rPr>
        <w:t xml:space="preserve"> Exceptions and limitations for education and research should take into account the valuable contributions of authors and publishers in the creation and dissemination of works that benefit the educational community and the public overall.</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e</w:t>
      </w:r>
      <w:r w:rsidR="00BB10FF">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Because digital and mobile technologies enable educational and research institutions to obtain and provide access to online content, limitations and exceptions should be appropriately extended so that educational and research institutions can properly function in the digital environment as </w:t>
      </w:r>
      <w:proofErr w:type="spellStart"/>
      <w:r w:rsidRPr="00F246EE">
        <w:rPr>
          <w:rFonts w:ascii="Times New Roman" w:eastAsia="Times New Roman" w:hAnsi="Times New Roman" w:cs="Times New Roman"/>
          <w:color w:val="000000"/>
          <w:sz w:val="24"/>
          <w:szCs w:val="24"/>
        </w:rPr>
        <w:t>centres</w:t>
      </w:r>
      <w:proofErr w:type="spellEnd"/>
      <w:r w:rsidRPr="00F246EE">
        <w:rPr>
          <w:rFonts w:ascii="Times New Roman" w:eastAsia="Times New Roman" w:hAnsi="Times New Roman" w:cs="Times New Roman"/>
          <w:color w:val="000000"/>
          <w:sz w:val="24"/>
          <w:szCs w:val="24"/>
        </w:rPr>
        <w:t xml:space="preserve"> of creativity, research, learning and collaboration.  </w:t>
      </w:r>
    </w:p>
    <w:p w:rsidR="00F246EE" w:rsidRDefault="00F246EE" w:rsidP="00F246EE">
      <w:pPr>
        <w:spacing w:after="0" w:line="240" w:lineRule="auto"/>
        <w:rPr>
          <w:rFonts w:ascii="Times New Roman" w:eastAsia="Times New Roman" w:hAnsi="Times New Roman" w:cs="Times New Roman"/>
          <w:sz w:val="24"/>
          <w:szCs w:val="24"/>
        </w:rPr>
      </w:pPr>
    </w:p>
    <w:p w:rsidR="009A7280" w:rsidRDefault="009A7280" w:rsidP="00F246EE">
      <w:pPr>
        <w:spacing w:after="0" w:line="240" w:lineRule="auto"/>
        <w:rPr>
          <w:rFonts w:ascii="Times New Roman" w:eastAsia="Times New Roman" w:hAnsi="Times New Roman" w:cs="Times New Roman"/>
          <w:sz w:val="24"/>
          <w:szCs w:val="24"/>
        </w:rPr>
      </w:pPr>
    </w:p>
    <w:p w:rsidR="009A7280" w:rsidRDefault="009A7280" w:rsidP="00F246EE">
      <w:pPr>
        <w:spacing w:after="0" w:line="240" w:lineRule="auto"/>
        <w:rPr>
          <w:rFonts w:ascii="Times New Roman" w:eastAsia="Times New Roman" w:hAnsi="Times New Roman" w:cs="Times New Roman"/>
          <w:sz w:val="24"/>
          <w:szCs w:val="24"/>
        </w:rPr>
      </w:pPr>
    </w:p>
    <w:p w:rsidR="009A7280" w:rsidRDefault="009A7280" w:rsidP="00F246EE">
      <w:pPr>
        <w:spacing w:after="0" w:line="240" w:lineRule="auto"/>
        <w:rPr>
          <w:rFonts w:ascii="Times New Roman" w:eastAsia="Times New Roman" w:hAnsi="Times New Roman" w:cs="Times New Roman"/>
          <w:sz w:val="24"/>
          <w:szCs w:val="24"/>
        </w:rPr>
      </w:pPr>
    </w:p>
    <w:p w:rsidR="009A7280" w:rsidRDefault="009A7280" w:rsidP="00F246EE">
      <w:pPr>
        <w:spacing w:after="0" w:line="240" w:lineRule="auto"/>
        <w:rPr>
          <w:rFonts w:ascii="Times New Roman" w:eastAsia="Times New Roman" w:hAnsi="Times New Roman" w:cs="Times New Roman"/>
          <w:sz w:val="24"/>
          <w:szCs w:val="24"/>
        </w:rPr>
      </w:pPr>
    </w:p>
    <w:p w:rsidR="009A7280" w:rsidRDefault="009A7280" w:rsidP="00F246EE">
      <w:pPr>
        <w:spacing w:after="0" w:line="240" w:lineRule="auto"/>
        <w:rPr>
          <w:rFonts w:ascii="Times New Roman" w:eastAsia="Times New Roman" w:hAnsi="Times New Roman" w:cs="Times New Roman"/>
          <w:sz w:val="24"/>
          <w:szCs w:val="24"/>
        </w:rPr>
      </w:pPr>
    </w:p>
    <w:p w:rsidR="009A7280" w:rsidRPr="00F246EE" w:rsidRDefault="009A7280"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5</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Permitted Uses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1. It shall be permissible to use a work for educational or research purposes to the extent justified by the purpose and provided such utilization is compatible with fair practice.</w:t>
      </w:r>
      <w:r>
        <w:rPr>
          <w:rStyle w:val="Appelnotedebasdep"/>
          <w:rFonts w:ascii="Times New Roman" w:eastAsia="Times New Roman" w:hAnsi="Times New Roman" w:cs="Times New Roman"/>
          <w:color w:val="000000"/>
          <w:sz w:val="24"/>
          <w:szCs w:val="24"/>
        </w:rPr>
        <w:footnoteReference w:id="4"/>
      </w:r>
      <w:r w:rsidRPr="00F246EE">
        <w:rPr>
          <w:rFonts w:ascii="Times New Roman" w:eastAsia="Times New Roman" w:hAnsi="Times New Roman" w:cs="Times New Roman"/>
          <w:color w:val="000000"/>
          <w:sz w:val="24"/>
          <w:szCs w:val="24"/>
        </w:rPr>
        <w:t xml:space="preserve">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2. Uses within the scope of paragraph 1 shall include, but not be limited to: </w:t>
      </w:r>
    </w:p>
    <w:p w:rsidR="00F246EE" w:rsidRPr="00F246EE" w:rsidRDefault="00F246EE" w:rsidP="00F246EE">
      <w:pPr>
        <w:spacing w:after="0" w:line="240" w:lineRule="auto"/>
        <w:rPr>
          <w:rFonts w:ascii="Times New Roman" w:eastAsia="Times New Roman" w:hAnsi="Times New Roman" w:cs="Times New Roman"/>
          <w:sz w:val="24"/>
          <w:szCs w:val="24"/>
        </w:rPr>
      </w:pPr>
    </w:p>
    <w:p w:rsidR="00BB10FF" w:rsidRDefault="00F246EE" w:rsidP="00BB10FF">
      <w:pPr>
        <w:pStyle w:val="Paragraphedeliste"/>
        <w:numPr>
          <w:ilvl w:val="0"/>
          <w:numId w:val="1"/>
        </w:numPr>
        <w:spacing w:after="0" w:line="240" w:lineRule="auto"/>
        <w:rPr>
          <w:rFonts w:ascii="Times New Roman" w:eastAsia="Times New Roman" w:hAnsi="Times New Roman" w:cs="Times New Roman"/>
          <w:color w:val="000000"/>
          <w:sz w:val="24"/>
          <w:szCs w:val="24"/>
        </w:rPr>
      </w:pPr>
      <w:r w:rsidRPr="00BB10FF">
        <w:rPr>
          <w:rFonts w:ascii="Times New Roman" w:eastAsia="Times New Roman" w:hAnsi="Times New Roman" w:cs="Times New Roman"/>
          <w:color w:val="000000"/>
          <w:sz w:val="24"/>
          <w:szCs w:val="24"/>
        </w:rPr>
        <w:t>Uses in the course of teaching activities, such as:</w:t>
      </w:r>
    </w:p>
    <w:p w:rsidR="00BB10FF" w:rsidRDefault="00F246EE" w:rsidP="00BB10FF">
      <w:pPr>
        <w:pStyle w:val="Paragraphedeliste"/>
        <w:numPr>
          <w:ilvl w:val="1"/>
          <w:numId w:val="1"/>
        </w:numPr>
        <w:spacing w:after="0" w:line="240" w:lineRule="auto"/>
        <w:rPr>
          <w:rFonts w:ascii="Times New Roman" w:eastAsia="Times New Roman" w:hAnsi="Times New Roman" w:cs="Times New Roman"/>
          <w:color w:val="000000"/>
          <w:sz w:val="24"/>
          <w:szCs w:val="24"/>
        </w:rPr>
      </w:pPr>
      <w:r w:rsidRPr="00BB10FF">
        <w:rPr>
          <w:rFonts w:ascii="Times New Roman" w:eastAsia="Times New Roman" w:hAnsi="Times New Roman" w:cs="Times New Roman"/>
          <w:color w:val="000000"/>
          <w:sz w:val="24"/>
          <w:szCs w:val="24"/>
        </w:rPr>
        <w:t>making private copies, including in preparation of a course of instruction;</w:t>
      </w:r>
      <w:r>
        <w:rPr>
          <w:rStyle w:val="Appelnotedebasdep"/>
          <w:rFonts w:ascii="Times New Roman" w:eastAsia="Times New Roman" w:hAnsi="Times New Roman" w:cs="Times New Roman"/>
          <w:color w:val="000000"/>
          <w:sz w:val="24"/>
          <w:szCs w:val="24"/>
        </w:rPr>
        <w:footnoteReference w:id="5"/>
      </w:r>
    </w:p>
    <w:p w:rsidR="00BB10FF" w:rsidRDefault="00F246EE" w:rsidP="00BB10FF">
      <w:pPr>
        <w:pStyle w:val="Paragraphedeliste"/>
        <w:numPr>
          <w:ilvl w:val="1"/>
          <w:numId w:val="1"/>
        </w:numPr>
        <w:spacing w:after="0" w:line="240" w:lineRule="auto"/>
        <w:rPr>
          <w:rFonts w:ascii="Times New Roman" w:eastAsia="Times New Roman" w:hAnsi="Times New Roman" w:cs="Times New Roman"/>
          <w:color w:val="000000"/>
          <w:sz w:val="24"/>
          <w:szCs w:val="24"/>
        </w:rPr>
      </w:pPr>
      <w:r w:rsidRPr="00BB10FF">
        <w:rPr>
          <w:rFonts w:ascii="Times New Roman" w:eastAsia="Times New Roman" w:hAnsi="Times New Roman" w:cs="Times New Roman"/>
          <w:color w:val="000000"/>
          <w:sz w:val="24"/>
          <w:szCs w:val="24"/>
        </w:rPr>
        <w:t xml:space="preserve">performing or otherwise communicating works by way </w:t>
      </w:r>
      <w:r w:rsidR="00BB10FF" w:rsidRPr="00BB10FF">
        <w:rPr>
          <w:rFonts w:ascii="Times New Roman" w:eastAsia="Times New Roman" w:hAnsi="Times New Roman" w:cs="Times New Roman"/>
          <w:color w:val="000000"/>
          <w:sz w:val="24"/>
          <w:szCs w:val="24"/>
        </w:rPr>
        <w:t xml:space="preserve">of illustration or for comment, </w:t>
      </w:r>
      <w:r w:rsidRPr="00BB10FF">
        <w:rPr>
          <w:rFonts w:ascii="Times New Roman" w:eastAsia="Times New Roman" w:hAnsi="Times New Roman" w:cs="Times New Roman"/>
          <w:color w:val="000000"/>
          <w:sz w:val="24"/>
          <w:szCs w:val="24"/>
        </w:rPr>
        <w:t>criticism, or review in the course of instruction, including in online education;</w:t>
      </w:r>
      <w:r>
        <w:rPr>
          <w:rStyle w:val="Appelnotedebasdep"/>
          <w:rFonts w:ascii="Times New Roman" w:eastAsia="Times New Roman" w:hAnsi="Times New Roman" w:cs="Times New Roman"/>
          <w:color w:val="000000"/>
          <w:sz w:val="24"/>
          <w:szCs w:val="24"/>
        </w:rPr>
        <w:footnoteReference w:id="6"/>
      </w:r>
      <w:r w:rsidRPr="00BB10FF">
        <w:rPr>
          <w:rFonts w:ascii="Times New Roman" w:eastAsia="Times New Roman" w:hAnsi="Times New Roman" w:cs="Times New Roman"/>
          <w:color w:val="000000"/>
          <w:sz w:val="24"/>
          <w:szCs w:val="24"/>
        </w:rPr>
        <w:t xml:space="preserve"> </w:t>
      </w:r>
    </w:p>
    <w:p w:rsidR="00BB10FF" w:rsidRDefault="00F246EE" w:rsidP="00BB10FF">
      <w:pPr>
        <w:pStyle w:val="Paragraphedeliste"/>
        <w:numPr>
          <w:ilvl w:val="1"/>
          <w:numId w:val="1"/>
        </w:numPr>
        <w:spacing w:after="0" w:line="240" w:lineRule="auto"/>
        <w:rPr>
          <w:rFonts w:ascii="Times New Roman" w:eastAsia="Times New Roman" w:hAnsi="Times New Roman" w:cs="Times New Roman"/>
          <w:color w:val="000000"/>
          <w:sz w:val="24"/>
          <w:szCs w:val="24"/>
        </w:rPr>
      </w:pPr>
      <w:r w:rsidRPr="00BB10FF">
        <w:rPr>
          <w:rFonts w:ascii="Times New Roman" w:eastAsia="Times New Roman" w:hAnsi="Times New Roman" w:cs="Times New Roman"/>
          <w:color w:val="000000"/>
          <w:sz w:val="24"/>
          <w:szCs w:val="24"/>
        </w:rPr>
        <w:t>making and distributing multiple copies of works for use in a course of instruction;</w:t>
      </w:r>
      <w:r w:rsidR="00E163CC">
        <w:rPr>
          <w:rStyle w:val="Appelnotedebasdep"/>
          <w:rFonts w:ascii="Times New Roman" w:eastAsia="Times New Roman" w:hAnsi="Times New Roman" w:cs="Times New Roman"/>
          <w:color w:val="000000"/>
          <w:sz w:val="24"/>
          <w:szCs w:val="24"/>
        </w:rPr>
        <w:footnoteReference w:id="7"/>
      </w:r>
      <w:r w:rsidRPr="00BB10FF">
        <w:rPr>
          <w:rFonts w:ascii="Times New Roman" w:eastAsia="Times New Roman" w:hAnsi="Times New Roman" w:cs="Times New Roman"/>
          <w:color w:val="000000"/>
          <w:sz w:val="24"/>
          <w:szCs w:val="24"/>
        </w:rPr>
        <w:t xml:space="preserve"> and </w:t>
      </w:r>
    </w:p>
    <w:p w:rsidR="00F246EE" w:rsidRPr="00BB10FF" w:rsidRDefault="00F246EE" w:rsidP="00BB10FF">
      <w:pPr>
        <w:pStyle w:val="Paragraphedeliste"/>
        <w:numPr>
          <w:ilvl w:val="1"/>
          <w:numId w:val="1"/>
        </w:numPr>
        <w:spacing w:after="0" w:line="240" w:lineRule="auto"/>
        <w:rPr>
          <w:rFonts w:ascii="Times New Roman" w:eastAsia="Times New Roman" w:hAnsi="Times New Roman" w:cs="Times New Roman"/>
          <w:color w:val="000000"/>
          <w:sz w:val="24"/>
          <w:szCs w:val="24"/>
        </w:rPr>
      </w:pPr>
      <w:r w:rsidRPr="00BB10FF">
        <w:rPr>
          <w:rFonts w:ascii="Times New Roman" w:eastAsia="Times New Roman" w:hAnsi="Times New Roman" w:cs="Times New Roman"/>
          <w:color w:val="000000"/>
          <w:sz w:val="24"/>
          <w:szCs w:val="24"/>
        </w:rPr>
        <w:t>making and administering examinations, including the drafting of questions and communicating the questions to students;</w:t>
      </w:r>
    </w:p>
    <w:p w:rsidR="00F246EE" w:rsidRPr="00F246EE" w:rsidRDefault="00F246EE" w:rsidP="00F246EE">
      <w:pPr>
        <w:spacing w:after="0" w:line="240" w:lineRule="auto"/>
        <w:ind w:left="720" w:hanging="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BB10FF" w:rsidRPr="00BB10FF" w:rsidRDefault="00F246EE" w:rsidP="00BB10FF">
      <w:pPr>
        <w:pStyle w:val="Paragraphedeliste"/>
        <w:numPr>
          <w:ilvl w:val="0"/>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Uses in the course of learning activities, such as:</w:t>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making private copies for purposes of study;</w:t>
      </w:r>
      <w:r w:rsidR="00E163CC">
        <w:rPr>
          <w:rStyle w:val="Appelnotedebasdep"/>
          <w:rFonts w:ascii="Times New Roman" w:eastAsia="Times New Roman" w:hAnsi="Times New Roman" w:cs="Times New Roman"/>
          <w:color w:val="000000"/>
          <w:sz w:val="24"/>
          <w:szCs w:val="24"/>
        </w:rPr>
        <w:footnoteReference w:id="8"/>
      </w:r>
      <w:r w:rsidRPr="00BB10FF">
        <w:rPr>
          <w:rFonts w:ascii="Times New Roman" w:eastAsia="Times New Roman" w:hAnsi="Times New Roman" w:cs="Times New Roman"/>
          <w:color w:val="000000"/>
          <w:sz w:val="24"/>
          <w:szCs w:val="24"/>
        </w:rPr>
        <w:t xml:space="preserve"> </w:t>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 xml:space="preserve">including images, short works, and excerpts of longer works in assignments and in responses to examinations; </w:t>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translating or otherwise adapting works for use in assignments and examinations;</w:t>
      </w:r>
      <w:r w:rsidR="00E163CC">
        <w:rPr>
          <w:rStyle w:val="Appelnotedebasdep"/>
          <w:rFonts w:ascii="Times New Roman" w:eastAsia="Times New Roman" w:hAnsi="Times New Roman" w:cs="Times New Roman"/>
          <w:color w:val="000000"/>
          <w:sz w:val="24"/>
          <w:szCs w:val="24"/>
        </w:rPr>
        <w:footnoteReference w:id="9"/>
      </w:r>
      <w:r w:rsidRPr="00BB10FF">
        <w:rPr>
          <w:rFonts w:ascii="Times New Roman" w:eastAsia="Times New Roman" w:hAnsi="Times New Roman" w:cs="Times New Roman"/>
          <w:color w:val="000000"/>
          <w:sz w:val="24"/>
          <w:szCs w:val="24"/>
        </w:rPr>
        <w:t xml:space="preserve"> and </w:t>
      </w:r>
    </w:p>
    <w:p w:rsidR="00F246EE"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performing or otherwise communicating works in an educational context, including by wire or wireless means;</w:t>
      </w:r>
      <w:r w:rsidR="00E163CC">
        <w:rPr>
          <w:rStyle w:val="Appelnotedebasdep"/>
          <w:rFonts w:ascii="Times New Roman" w:eastAsia="Times New Roman" w:hAnsi="Times New Roman" w:cs="Times New Roman"/>
          <w:color w:val="000000"/>
          <w:sz w:val="24"/>
          <w:szCs w:val="24"/>
        </w:rPr>
        <w:footnoteReference w:id="10"/>
      </w:r>
    </w:p>
    <w:p w:rsidR="00F246EE" w:rsidRPr="00F246EE" w:rsidRDefault="00F246EE" w:rsidP="00F246EE">
      <w:pPr>
        <w:spacing w:after="0" w:line="240" w:lineRule="auto"/>
        <w:rPr>
          <w:rFonts w:ascii="Times New Roman" w:eastAsia="Times New Roman" w:hAnsi="Times New Roman" w:cs="Times New Roman"/>
          <w:sz w:val="24"/>
          <w:szCs w:val="24"/>
        </w:rPr>
      </w:pPr>
    </w:p>
    <w:p w:rsidR="00BB10FF" w:rsidRPr="00BB10FF" w:rsidRDefault="00F246EE" w:rsidP="00BB10FF">
      <w:pPr>
        <w:pStyle w:val="Paragraphedeliste"/>
        <w:numPr>
          <w:ilvl w:val="0"/>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Uses in the course of creating educational materials, such as:</w:t>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 xml:space="preserve">using works by way of illustration or for comment, criticism, or review in publications, broadcasts, audiovisual works, or sound recordings; </w:t>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lastRenderedPageBreak/>
        <w:t>including images, short works and excerpts of longer works in anthologies and other compilations;</w:t>
      </w:r>
      <w:r w:rsidR="00E163CC">
        <w:rPr>
          <w:rStyle w:val="Appelnotedebasdep"/>
          <w:rFonts w:ascii="Times New Roman" w:eastAsia="Times New Roman" w:hAnsi="Times New Roman" w:cs="Times New Roman"/>
          <w:color w:val="000000"/>
          <w:sz w:val="24"/>
          <w:szCs w:val="24"/>
        </w:rPr>
        <w:footnoteReference w:id="11"/>
      </w:r>
      <w:r w:rsidRPr="00BB10FF">
        <w:rPr>
          <w:rFonts w:ascii="Times New Roman" w:eastAsia="Times New Roman" w:hAnsi="Times New Roman" w:cs="Times New Roman"/>
          <w:color w:val="000000"/>
          <w:sz w:val="24"/>
          <w:szCs w:val="24"/>
        </w:rPr>
        <w:t xml:space="preserve"> </w:t>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translating works when they are not available in languages required by users;</w:t>
      </w:r>
      <w:r w:rsidR="00E163CC">
        <w:rPr>
          <w:rStyle w:val="Appelnotedebasdep"/>
          <w:rFonts w:ascii="Times New Roman" w:eastAsia="Times New Roman" w:hAnsi="Times New Roman" w:cs="Times New Roman"/>
          <w:color w:val="000000"/>
          <w:sz w:val="24"/>
          <w:szCs w:val="24"/>
        </w:rPr>
        <w:footnoteReference w:id="12"/>
      </w:r>
      <w:r w:rsidRPr="00BB10FF">
        <w:rPr>
          <w:rFonts w:ascii="Times New Roman" w:eastAsia="Times New Roman" w:hAnsi="Times New Roman" w:cs="Times New Roman"/>
          <w:color w:val="000000"/>
          <w:sz w:val="24"/>
          <w:szCs w:val="24"/>
        </w:rPr>
        <w:t xml:space="preserve"> </w:t>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BB10FF">
        <w:rPr>
          <w:rFonts w:ascii="Times New Roman" w:eastAsia="Times New Roman" w:hAnsi="Times New Roman" w:cs="Times New Roman"/>
          <w:color w:val="000000"/>
          <w:sz w:val="24"/>
          <w:szCs w:val="24"/>
        </w:rPr>
        <w:t xml:space="preserve">adapting, altering or arranging works for use in a course of instruction; </w:t>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reproducing and making available works for which the author or other </w:t>
      </w:r>
      <w:proofErr w:type="spellStart"/>
      <w:r w:rsidRPr="00F246EE">
        <w:rPr>
          <w:rFonts w:ascii="Times New Roman" w:eastAsia="Times New Roman" w:hAnsi="Times New Roman" w:cs="Times New Roman"/>
          <w:color w:val="000000"/>
          <w:sz w:val="24"/>
          <w:szCs w:val="24"/>
        </w:rPr>
        <w:t>rightholder</w:t>
      </w:r>
      <w:proofErr w:type="spellEnd"/>
      <w:r w:rsidRPr="00F246EE">
        <w:rPr>
          <w:rFonts w:ascii="Times New Roman" w:eastAsia="Times New Roman" w:hAnsi="Times New Roman" w:cs="Times New Roman"/>
          <w:color w:val="000000"/>
          <w:sz w:val="24"/>
          <w:szCs w:val="24"/>
        </w:rPr>
        <w:t xml:space="preserve"> cannot be identified or located after reasonable inquiry;</w:t>
      </w:r>
      <w:r w:rsidR="009D1CA5">
        <w:rPr>
          <w:rStyle w:val="Appelnotedebasdep"/>
          <w:rFonts w:ascii="Times New Roman" w:eastAsia="Times New Roman" w:hAnsi="Times New Roman" w:cs="Times New Roman"/>
          <w:color w:val="000000"/>
          <w:sz w:val="24"/>
          <w:szCs w:val="24"/>
        </w:rPr>
        <w:footnoteReference w:id="13"/>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making and providing accessible format copies of works to teachers, students, or researchers with disabilities, including by import and export;</w:t>
      </w:r>
      <w:r w:rsidR="009D1CA5">
        <w:rPr>
          <w:rStyle w:val="Appelnotedebasdep"/>
          <w:rFonts w:ascii="Times New Roman" w:eastAsia="Times New Roman" w:hAnsi="Times New Roman" w:cs="Times New Roman"/>
          <w:color w:val="000000"/>
          <w:sz w:val="24"/>
          <w:szCs w:val="24"/>
        </w:rPr>
        <w:footnoteReference w:id="14"/>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importing lawfully made copies of works;</w:t>
      </w:r>
      <w:r w:rsidR="009D1CA5">
        <w:rPr>
          <w:rStyle w:val="Appelnotedebasdep"/>
          <w:rFonts w:ascii="Times New Roman" w:eastAsia="Times New Roman" w:hAnsi="Times New Roman" w:cs="Times New Roman"/>
          <w:color w:val="000000"/>
          <w:sz w:val="24"/>
          <w:szCs w:val="24"/>
        </w:rPr>
        <w:footnoteReference w:id="15"/>
      </w:r>
    </w:p>
    <w:p w:rsidR="00BB10FF" w:rsidRPr="00BB10FF"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Internet access and hosting services;</w:t>
      </w:r>
      <w:r w:rsidR="009D1CA5">
        <w:rPr>
          <w:rStyle w:val="Appelnotedebasdep"/>
          <w:rFonts w:ascii="Times New Roman" w:eastAsia="Times New Roman" w:hAnsi="Times New Roman" w:cs="Times New Roman"/>
          <w:color w:val="000000"/>
          <w:sz w:val="24"/>
          <w:szCs w:val="24"/>
        </w:rPr>
        <w:footnoteReference w:id="16"/>
      </w:r>
      <w:r w:rsidRPr="00F246EE">
        <w:rPr>
          <w:rFonts w:ascii="Times New Roman" w:eastAsia="Times New Roman" w:hAnsi="Times New Roman" w:cs="Times New Roman"/>
          <w:color w:val="000000"/>
          <w:sz w:val="24"/>
          <w:szCs w:val="24"/>
        </w:rPr>
        <w:t xml:space="preserve"> and</w:t>
      </w:r>
    </w:p>
    <w:p w:rsidR="00F246EE" w:rsidRPr="00F246EE" w:rsidRDefault="00F246EE" w:rsidP="00BB10FF">
      <w:pPr>
        <w:pStyle w:val="Paragraphedeliste"/>
        <w:numPr>
          <w:ilvl w:val="1"/>
          <w:numId w:val="1"/>
        </w:num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archiving course materials for subsequent teacher or learner uses.</w:t>
      </w:r>
    </w:p>
    <w:p w:rsidR="00F246EE" w:rsidRPr="00F246EE" w:rsidRDefault="00F246EE" w:rsidP="00F246EE">
      <w:pPr>
        <w:spacing w:after="0" w:line="240" w:lineRule="auto"/>
        <w:rPr>
          <w:rFonts w:ascii="Times New Roman" w:eastAsia="Times New Roman" w:hAnsi="Times New Roman" w:cs="Times New Roman"/>
          <w:sz w:val="24"/>
          <w:szCs w:val="24"/>
        </w:rPr>
      </w:pPr>
    </w:p>
    <w:p w:rsidR="009A7280" w:rsidRPr="009A7280" w:rsidRDefault="00F246EE" w:rsidP="009A7280">
      <w:pPr>
        <w:pStyle w:val="Paragraphedeliste"/>
        <w:numPr>
          <w:ilvl w:val="0"/>
          <w:numId w:val="1"/>
        </w:numPr>
        <w:spacing w:after="0" w:line="240" w:lineRule="auto"/>
        <w:rPr>
          <w:rFonts w:ascii="Times New Roman" w:eastAsia="Times New Roman" w:hAnsi="Times New Roman" w:cs="Times New Roman"/>
          <w:sz w:val="24"/>
          <w:szCs w:val="24"/>
        </w:rPr>
      </w:pPr>
      <w:r w:rsidRPr="009A7280">
        <w:rPr>
          <w:rFonts w:ascii="Times New Roman" w:eastAsia="Times New Roman" w:hAnsi="Times New Roman" w:cs="Times New Roman"/>
          <w:color w:val="000000"/>
          <w:sz w:val="24"/>
          <w:szCs w:val="24"/>
        </w:rPr>
        <w:t xml:space="preserve">Uses in the course of research activities, such as: </w:t>
      </w:r>
    </w:p>
    <w:p w:rsidR="009A7280" w:rsidRPr="009A7280" w:rsidRDefault="00F246EE" w:rsidP="009A7280">
      <w:pPr>
        <w:pStyle w:val="Paragraphedeliste"/>
        <w:numPr>
          <w:ilvl w:val="1"/>
          <w:numId w:val="1"/>
        </w:numPr>
        <w:spacing w:after="0" w:line="240" w:lineRule="auto"/>
        <w:rPr>
          <w:rFonts w:ascii="Times New Roman" w:eastAsia="Times New Roman" w:hAnsi="Times New Roman" w:cs="Times New Roman"/>
          <w:sz w:val="24"/>
          <w:szCs w:val="24"/>
        </w:rPr>
      </w:pPr>
      <w:r w:rsidRPr="009A7280">
        <w:rPr>
          <w:rFonts w:ascii="Times New Roman" w:eastAsia="Times New Roman" w:hAnsi="Times New Roman" w:cs="Times New Roman"/>
          <w:color w:val="000000"/>
          <w:sz w:val="24"/>
          <w:szCs w:val="24"/>
        </w:rPr>
        <w:t>making and modifying private copies for research purposes;</w:t>
      </w:r>
      <w:r w:rsidR="009D1CA5">
        <w:rPr>
          <w:rStyle w:val="Appelnotedebasdep"/>
          <w:rFonts w:ascii="Times New Roman" w:eastAsia="Times New Roman" w:hAnsi="Times New Roman" w:cs="Times New Roman"/>
          <w:color w:val="000000"/>
          <w:sz w:val="24"/>
          <w:szCs w:val="24"/>
        </w:rPr>
        <w:footnoteReference w:id="17"/>
      </w:r>
      <w:r w:rsidRPr="009A7280">
        <w:rPr>
          <w:rFonts w:ascii="Times New Roman" w:eastAsia="Times New Roman" w:hAnsi="Times New Roman" w:cs="Times New Roman"/>
          <w:color w:val="000000"/>
          <w:sz w:val="24"/>
          <w:szCs w:val="24"/>
        </w:rPr>
        <w:t xml:space="preserve"> </w:t>
      </w:r>
    </w:p>
    <w:p w:rsidR="009A7280" w:rsidRPr="009A7280" w:rsidRDefault="00F246EE" w:rsidP="009A7280">
      <w:pPr>
        <w:pStyle w:val="Paragraphedeliste"/>
        <w:numPr>
          <w:ilvl w:val="1"/>
          <w:numId w:val="1"/>
        </w:num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making quotations of a work for the purpose of illustration or for comment, criticism or review;</w:t>
      </w:r>
      <w:r w:rsidR="009D1CA5">
        <w:rPr>
          <w:rStyle w:val="Appelnotedebasdep"/>
          <w:rFonts w:ascii="Times New Roman" w:eastAsia="Times New Roman" w:hAnsi="Times New Roman" w:cs="Times New Roman"/>
          <w:color w:val="000000"/>
          <w:sz w:val="24"/>
          <w:szCs w:val="24"/>
        </w:rPr>
        <w:footnoteReference w:id="18"/>
      </w:r>
      <w:r w:rsidRPr="00F246EE">
        <w:rPr>
          <w:rFonts w:ascii="Times New Roman" w:eastAsia="Times New Roman" w:hAnsi="Times New Roman" w:cs="Times New Roman"/>
          <w:color w:val="000000"/>
          <w:sz w:val="24"/>
          <w:szCs w:val="24"/>
        </w:rPr>
        <w:t xml:space="preserve"> and</w:t>
      </w:r>
    </w:p>
    <w:p w:rsidR="00F246EE" w:rsidRPr="00F246EE" w:rsidRDefault="00F246EE" w:rsidP="009A7280">
      <w:pPr>
        <w:pStyle w:val="Paragraphedeliste"/>
        <w:numPr>
          <w:ilvl w:val="1"/>
          <w:numId w:val="1"/>
        </w:num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using a work for computational or other uses that do not themselves express or communicate the work to the public, including indexing and text and data-mining.</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6</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 xml:space="preserve">  Cross – Border Uses</w:t>
      </w:r>
      <w:r w:rsidR="009D1CA5">
        <w:rPr>
          <w:rStyle w:val="Appelnotedebasdep"/>
          <w:rFonts w:ascii="Times New Roman" w:eastAsia="Times New Roman" w:hAnsi="Times New Roman" w:cs="Times New Roman"/>
          <w:b/>
          <w:bCs/>
          <w:color w:val="000000"/>
          <w:sz w:val="24"/>
          <w:szCs w:val="24"/>
        </w:rPr>
        <w:footnoteReference w:id="19"/>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Limitations and exceptions adopted pursuant to Articles 3 and 5 shall permit cross-border uses.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Contracting Parties shall provide that if an educational or research material is made under a limitation or exception or pursuant to operation of law, that material may be distributed or made available in another Contracting Party.</w:t>
      </w:r>
      <w:r w:rsidR="009D1CA5">
        <w:rPr>
          <w:rStyle w:val="Appelnotedebasdep"/>
          <w:rFonts w:ascii="Times New Roman" w:eastAsia="Times New Roman" w:hAnsi="Times New Roman" w:cs="Times New Roman"/>
          <w:color w:val="000000"/>
          <w:sz w:val="24"/>
          <w:szCs w:val="24"/>
        </w:rPr>
        <w:footnoteReference w:id="20"/>
      </w:r>
    </w:p>
    <w:p w:rsidR="00F246EE" w:rsidRDefault="00F246EE" w:rsidP="00F246EE">
      <w:pPr>
        <w:spacing w:after="0" w:line="240" w:lineRule="auto"/>
        <w:rPr>
          <w:rFonts w:ascii="Times New Roman" w:eastAsia="Times New Roman" w:hAnsi="Times New Roman" w:cs="Times New Roman"/>
          <w:sz w:val="24"/>
          <w:szCs w:val="24"/>
        </w:rPr>
      </w:pPr>
    </w:p>
    <w:p w:rsidR="00206053" w:rsidRDefault="00206053" w:rsidP="00F246EE">
      <w:pPr>
        <w:spacing w:after="0" w:line="240" w:lineRule="auto"/>
        <w:jc w:val="center"/>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7</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Uses Subject to Remuneration</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shd w:val="clear" w:color="auto" w:fill="FFFFFF"/>
        </w:rPr>
        <w:lastRenderedPageBreak/>
        <w:t xml:space="preserve">A Contracting Party may authorize uses for educational or research purposes beyond those permitted under Articles 4 and 5 where such uses are subject to adequate remuneration, such as through statutory licenses or limitations of remedies for infringement. </w:t>
      </w:r>
    </w:p>
    <w:p w:rsidR="00206053" w:rsidRDefault="00206053" w:rsidP="00F246EE">
      <w:pPr>
        <w:spacing w:after="0" w:line="240" w:lineRule="auto"/>
        <w:rPr>
          <w:rFonts w:ascii="Times New Roman" w:eastAsia="Times New Roman" w:hAnsi="Times New Roman" w:cs="Times New Roman"/>
          <w:b/>
          <w:bCs/>
          <w:color w:val="000000"/>
          <w:sz w:val="24"/>
          <w:szCs w:val="24"/>
        </w:rPr>
      </w:pPr>
    </w:p>
    <w:p w:rsidR="00206053" w:rsidRDefault="00206053" w:rsidP="00F246EE">
      <w:pPr>
        <w:spacing w:after="0" w:line="240" w:lineRule="auto"/>
        <w:rPr>
          <w:rFonts w:ascii="Times New Roman" w:eastAsia="Times New Roman" w:hAnsi="Times New Roman" w:cs="Times New Roman"/>
          <w:b/>
          <w:bCs/>
          <w:color w:val="000000"/>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 xml:space="preserve">III. General Obligations on Limitations and Exceptions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8</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Respecting Exceptions to Copyright</w:t>
      </w:r>
      <w:r w:rsidR="00C84819">
        <w:rPr>
          <w:rStyle w:val="Appelnotedebasdep"/>
          <w:rFonts w:ascii="Times New Roman" w:eastAsia="Times New Roman" w:hAnsi="Times New Roman" w:cs="Times New Roman"/>
          <w:b/>
          <w:bCs/>
          <w:color w:val="000000"/>
          <w:sz w:val="24"/>
          <w:szCs w:val="24"/>
        </w:rPr>
        <w:footnoteReference w:id="21"/>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Any contractual provisions that prohibit or restrict the exercise or enjoyment of the limitations and exceptions provided by the Contracting Parties consistent with Articles 3 or 5 shall be unenforceable.</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9</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Obligations Concerning Technological Protection Measures</w:t>
      </w:r>
      <w:r w:rsidR="00C84819">
        <w:rPr>
          <w:rStyle w:val="Appelnotedebasdep"/>
          <w:rFonts w:ascii="Times New Roman" w:eastAsia="Times New Roman" w:hAnsi="Times New Roman" w:cs="Times New Roman"/>
          <w:b/>
          <w:bCs/>
          <w:color w:val="000000"/>
          <w:sz w:val="24"/>
          <w:szCs w:val="24"/>
        </w:rPr>
        <w:footnoteReference w:id="22"/>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Parties shall ensure that legal remedies against the circumvention of effective technological protection measures do not prohib</w:t>
      </w:r>
      <w:r w:rsidR="004618DF">
        <w:rPr>
          <w:rFonts w:ascii="Times New Roman" w:eastAsia="Times New Roman" w:hAnsi="Times New Roman" w:cs="Times New Roman"/>
          <w:color w:val="000000"/>
          <w:sz w:val="24"/>
          <w:szCs w:val="24"/>
        </w:rPr>
        <w:t xml:space="preserve">it or prevent the </w:t>
      </w:r>
      <w:r w:rsidRPr="00F246EE">
        <w:rPr>
          <w:rFonts w:ascii="Times New Roman" w:eastAsia="Times New Roman" w:hAnsi="Times New Roman" w:cs="Times New Roman"/>
          <w:color w:val="000000"/>
          <w:sz w:val="24"/>
          <w:szCs w:val="24"/>
        </w:rPr>
        <w:t>educational and research uses enabled by the limitations and exceptions provided by the Contracting Parties consistent with Articles 3 or 5.</w:t>
      </w:r>
    </w:p>
    <w:p w:rsidR="00F246EE" w:rsidRPr="00F246EE" w:rsidRDefault="00F246EE" w:rsidP="00F246EE">
      <w:pPr>
        <w:spacing w:after="24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10</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Limitation on Liability</w:t>
      </w:r>
      <w:r w:rsidR="00C84819">
        <w:rPr>
          <w:rStyle w:val="Appelnotedebasdep"/>
          <w:rFonts w:ascii="Times New Roman" w:eastAsia="Times New Roman" w:hAnsi="Times New Roman" w:cs="Times New Roman"/>
          <w:b/>
          <w:bCs/>
          <w:color w:val="000000"/>
          <w:sz w:val="24"/>
          <w:szCs w:val="24"/>
        </w:rPr>
        <w:footnoteReference w:id="23"/>
      </w:r>
      <w:r w:rsidRPr="00F246EE">
        <w:rPr>
          <w:rFonts w:ascii="Times New Roman" w:eastAsia="Times New Roman" w:hAnsi="Times New Roman" w:cs="Times New Roman"/>
          <w:b/>
          <w:bCs/>
          <w:color w:val="000000"/>
          <w:sz w:val="24"/>
          <w:szCs w:val="24"/>
        </w:rPr>
        <w:t xml:space="preserve">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1. Any person using a work for an educational or research purpose shall be protected from claims for damages and from criminal liability when the action is performed in good faith: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9A7280">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a) in the belief, and where there are reasonable grounds for believing, that the work is being used as permitted within the scope of a limitation or exception in the law of a state, in this Treaty, or as protected by human rights or fundamental guarantees recognized in the state or under international law; or </w:t>
      </w: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F246EE" w:rsidP="009A7280">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b) where there are reasonable grounds for believing that the work is permitted by license or law.</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2. When a Contracting Party provides for secondary liability regimes, educational and research institutions shall be exempt from liability for the actions of their students and other users.</w:t>
      </w:r>
    </w:p>
    <w:p w:rsidR="00F246EE" w:rsidRPr="00F246EE" w:rsidRDefault="00F246EE" w:rsidP="00F246EE">
      <w:pPr>
        <w:spacing w:after="0" w:line="240" w:lineRule="auto"/>
        <w:rPr>
          <w:rFonts w:ascii="Times New Roman" w:eastAsia="Times New Roman" w:hAnsi="Times New Roman" w:cs="Times New Roman"/>
          <w:sz w:val="24"/>
          <w:szCs w:val="24"/>
        </w:rPr>
      </w:pPr>
    </w:p>
    <w:p w:rsidR="009A7280" w:rsidRDefault="009A7280" w:rsidP="00F246EE">
      <w:pPr>
        <w:spacing w:after="0" w:line="240" w:lineRule="auto"/>
        <w:jc w:val="center"/>
        <w:rPr>
          <w:rFonts w:ascii="Times New Roman" w:eastAsia="Times New Roman" w:hAnsi="Times New Roman" w:cs="Times New Roman"/>
          <w:b/>
          <w:bCs/>
          <w:color w:val="000000"/>
          <w:sz w:val="24"/>
          <w:szCs w:val="24"/>
        </w:rPr>
      </w:pPr>
    </w:p>
    <w:p w:rsidR="009A7280" w:rsidRDefault="009A7280" w:rsidP="00F246EE">
      <w:pPr>
        <w:spacing w:after="0" w:line="240" w:lineRule="auto"/>
        <w:jc w:val="center"/>
        <w:rPr>
          <w:rFonts w:ascii="Times New Roman" w:eastAsia="Times New Roman" w:hAnsi="Times New Roman" w:cs="Times New Roman"/>
          <w:b/>
          <w:bCs/>
          <w:color w:val="000000"/>
          <w:sz w:val="24"/>
          <w:szCs w:val="24"/>
        </w:rPr>
      </w:pPr>
    </w:p>
    <w:p w:rsidR="0031523B" w:rsidRDefault="0031523B" w:rsidP="00F246EE">
      <w:pPr>
        <w:spacing w:after="0" w:line="240" w:lineRule="auto"/>
        <w:jc w:val="center"/>
        <w:rPr>
          <w:rFonts w:ascii="Times New Roman" w:eastAsia="Times New Roman" w:hAnsi="Times New Roman" w:cs="Times New Roman"/>
          <w:b/>
          <w:bCs/>
          <w:color w:val="000000"/>
          <w:sz w:val="24"/>
          <w:szCs w:val="24"/>
        </w:rPr>
      </w:pPr>
    </w:p>
    <w:p w:rsidR="0031523B" w:rsidRDefault="0031523B" w:rsidP="00F246EE">
      <w:pPr>
        <w:spacing w:after="0" w:line="240" w:lineRule="auto"/>
        <w:jc w:val="center"/>
        <w:rPr>
          <w:rFonts w:ascii="Times New Roman" w:eastAsia="Times New Roman" w:hAnsi="Times New Roman" w:cs="Times New Roman"/>
          <w:b/>
          <w:bCs/>
          <w:color w:val="000000"/>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lastRenderedPageBreak/>
        <w:t>Article 11</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Interpretation of Three Step Test</w:t>
      </w:r>
      <w:r w:rsidR="00C84819">
        <w:rPr>
          <w:rStyle w:val="Appelnotedebasdep"/>
          <w:rFonts w:ascii="Times New Roman" w:eastAsia="Times New Roman" w:hAnsi="Times New Roman" w:cs="Times New Roman"/>
          <w:b/>
          <w:bCs/>
          <w:color w:val="000000"/>
          <w:sz w:val="24"/>
          <w:szCs w:val="24"/>
        </w:rPr>
        <w:footnoteReference w:id="24"/>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When applying Article 9(2) of the Berne Convention, Article 10 of the WIPO Copyright Treaty, Article 16 of the WIPO Performances and Phonograms Treaty, or the Article 13 of the WTO Agreement on Trade-Related Aspects of Intellectual Property Rights, nothing prevents Contracting Parties interpreting the three-step test in a manner that respects the legitimate interests, including of third parties, deriving from educational and research needs, and other human rights and fundamental freedoms; and other public interests, such as the need to achieve scientific progress and cultural, educational, social, or economic development, and the protection of competition and secondary markets.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The legitimate interests of a right holder shall not extend to any use that has no substantial effect upon the intended market for a work.</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12</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Updating Exceptions</w:t>
      </w:r>
      <w:r w:rsidR="00C84819">
        <w:rPr>
          <w:rStyle w:val="Appelnotedebasdep"/>
          <w:rFonts w:ascii="Times New Roman" w:eastAsia="Times New Roman" w:hAnsi="Times New Roman" w:cs="Times New Roman"/>
          <w:b/>
          <w:bCs/>
          <w:color w:val="000000"/>
          <w:sz w:val="24"/>
          <w:szCs w:val="24"/>
        </w:rPr>
        <w:footnoteReference w:id="25"/>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Contracting Parties shall update, carry forward and appropriately extend into the digital environment limitations and exceptions in their national laws which have been considered acceptable under the Berne Convention, especially under article 10(1) and 10(2), and devise new exceptions and limitations that are appropriate in the digital environment to protect educational and research activities.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IV. Administrative and Final Clauses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13</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Assembly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1. </w:t>
      </w:r>
      <w:r w:rsidR="009A7280">
        <w:rPr>
          <w:rFonts w:ascii="Times New Roman" w:eastAsia="Times New Roman" w:hAnsi="Times New Roman" w:cs="Times New Roman"/>
          <w:color w:val="000000"/>
          <w:sz w:val="24"/>
          <w:szCs w:val="24"/>
        </w:rPr>
        <w:tab/>
      </w:r>
      <w:r w:rsidRPr="00F246EE">
        <w:rPr>
          <w:rFonts w:ascii="Times New Roman" w:eastAsia="Times New Roman" w:hAnsi="Times New Roman" w:cs="Times New Roman"/>
          <w:color w:val="000000"/>
          <w:sz w:val="24"/>
          <w:szCs w:val="24"/>
        </w:rPr>
        <w:t>a</w:t>
      </w:r>
      <w:r w:rsidR="009A7280">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The Contracting Parties shall have an Assembly.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9A7280">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b</w:t>
      </w:r>
      <w:r w:rsidR="009A7280">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Each Contracting Party shall be represented by one delegate who may be assisted by alternate delegates, advisors and experts.</w:t>
      </w:r>
    </w:p>
    <w:p w:rsidR="00F246EE" w:rsidRPr="00F246EE" w:rsidRDefault="00F246EE" w:rsidP="009A7280">
      <w:pPr>
        <w:spacing w:after="0" w:line="240" w:lineRule="auto"/>
        <w:ind w:left="720"/>
        <w:rPr>
          <w:rFonts w:ascii="Times New Roman" w:eastAsia="Times New Roman" w:hAnsi="Times New Roman" w:cs="Times New Roman"/>
          <w:sz w:val="24"/>
          <w:szCs w:val="24"/>
        </w:rPr>
      </w:pPr>
    </w:p>
    <w:p w:rsidR="00F246EE" w:rsidRPr="00F246EE" w:rsidRDefault="009A7280" w:rsidP="009A72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F246EE" w:rsidRPr="00F246EE">
        <w:rPr>
          <w:rFonts w:ascii="Times New Roman" w:eastAsia="Times New Roman" w:hAnsi="Times New Roman" w:cs="Times New Roman"/>
          <w:color w:val="000000"/>
          <w:sz w:val="24"/>
          <w:szCs w:val="24"/>
        </w:rPr>
        <w:t xml:space="preserve"> 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9A7280" w:rsidP="009A728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a)</w:t>
      </w:r>
      <w:r w:rsidR="00F246EE" w:rsidRPr="00F246EE">
        <w:rPr>
          <w:rFonts w:ascii="Times New Roman" w:eastAsia="Times New Roman" w:hAnsi="Times New Roman" w:cs="Times New Roman"/>
          <w:color w:val="000000"/>
          <w:sz w:val="24"/>
          <w:szCs w:val="24"/>
        </w:rPr>
        <w:t xml:space="preserve"> The Assembly shall deal with matters concerning the maintenance and development of this Treaty and the application and operation of this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9A7280" w:rsidP="009A72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b) </w:t>
      </w:r>
      <w:r w:rsidR="00F246EE" w:rsidRPr="00F246EE">
        <w:rPr>
          <w:rFonts w:ascii="Times New Roman" w:eastAsia="Times New Roman" w:hAnsi="Times New Roman" w:cs="Times New Roman"/>
          <w:color w:val="000000"/>
          <w:sz w:val="24"/>
          <w:szCs w:val="24"/>
        </w:rPr>
        <w:t>The Assembly shall perform the function allocated to it under Article xx in respect of the admission of certain intergovernmental organisations to become party to this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9A7280">
      <w:pPr>
        <w:spacing w:after="0" w:line="240" w:lineRule="auto"/>
        <w:ind w:left="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c</w:t>
      </w:r>
      <w:r w:rsidR="009A7280">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The Assembly shall decide the convocation of any diplomatic conference for the revision of this Treaty and give the necessary instructions to the Director General of WIPO for the preparation of such diplomatic conference.</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9A7280">
      <w:pPr>
        <w:spacing w:after="0" w:line="240" w:lineRule="auto"/>
        <w:ind w:left="720" w:hanging="720"/>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3. </w:t>
      </w:r>
      <w:r w:rsidR="009A7280">
        <w:rPr>
          <w:rFonts w:ascii="Times New Roman" w:eastAsia="Times New Roman" w:hAnsi="Times New Roman" w:cs="Times New Roman"/>
          <w:color w:val="000000"/>
          <w:sz w:val="24"/>
          <w:szCs w:val="24"/>
        </w:rPr>
        <w:tab/>
      </w:r>
      <w:r w:rsidRPr="00F246EE">
        <w:rPr>
          <w:rFonts w:ascii="Times New Roman" w:eastAsia="Times New Roman" w:hAnsi="Times New Roman" w:cs="Times New Roman"/>
          <w:color w:val="000000"/>
          <w:sz w:val="24"/>
          <w:szCs w:val="24"/>
        </w:rPr>
        <w:t>a</w:t>
      </w:r>
      <w:r w:rsidR="009A7280">
        <w:rPr>
          <w:rFonts w:ascii="Times New Roman" w:eastAsia="Times New Roman" w:hAnsi="Times New Roman" w:cs="Times New Roman"/>
          <w:color w:val="000000"/>
          <w:sz w:val="24"/>
          <w:szCs w:val="24"/>
        </w:rPr>
        <w:t>)</w:t>
      </w:r>
      <w:r w:rsidRPr="00F246EE">
        <w:rPr>
          <w:rFonts w:ascii="Times New Roman" w:eastAsia="Times New Roman" w:hAnsi="Times New Roman" w:cs="Times New Roman"/>
          <w:color w:val="000000"/>
          <w:sz w:val="24"/>
          <w:szCs w:val="24"/>
        </w:rPr>
        <w:t xml:space="preserve"> Each Contracting Party that is a State shall have one vote and shall vote only in its own name.</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9A7280" w:rsidP="009A72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F246EE" w:rsidRPr="00F246EE">
        <w:rPr>
          <w:rFonts w:ascii="Times New Roman" w:eastAsia="Times New Roman" w:hAnsi="Times New Roman" w:cs="Times New Roman"/>
          <w:color w:val="000000"/>
          <w:sz w:val="24"/>
          <w:szCs w:val="24"/>
        </w:rPr>
        <w:t xml:space="preserve"> Any Contracting Party that is an intergovernmental </w:t>
      </w:r>
      <w:proofErr w:type="spellStart"/>
      <w:r w:rsidR="00F246EE" w:rsidRPr="00F246EE">
        <w:rPr>
          <w:rFonts w:ascii="Times New Roman" w:eastAsia="Times New Roman" w:hAnsi="Times New Roman" w:cs="Times New Roman"/>
          <w:color w:val="000000"/>
          <w:sz w:val="24"/>
          <w:szCs w:val="24"/>
        </w:rPr>
        <w:t>organisation</w:t>
      </w:r>
      <w:proofErr w:type="spellEnd"/>
      <w:r w:rsidR="00F246EE" w:rsidRPr="00F246EE">
        <w:rPr>
          <w:rFonts w:ascii="Times New Roman" w:eastAsia="Times New Roman" w:hAnsi="Times New Roman" w:cs="Times New Roman"/>
          <w:color w:val="000000"/>
          <w:sz w:val="24"/>
          <w:szCs w:val="24"/>
        </w:rPr>
        <w:t xml:space="preserve"> may participate in the vote, in place of its Member States, with a number of votes equal to the number of its Member States which are party to this Treaty. No such intergovernmental </w:t>
      </w:r>
      <w:proofErr w:type="spellStart"/>
      <w:r w:rsidR="00F246EE" w:rsidRPr="00F246EE">
        <w:rPr>
          <w:rFonts w:ascii="Times New Roman" w:eastAsia="Times New Roman" w:hAnsi="Times New Roman" w:cs="Times New Roman"/>
          <w:color w:val="000000"/>
          <w:sz w:val="24"/>
          <w:szCs w:val="24"/>
        </w:rPr>
        <w:t>organisation</w:t>
      </w:r>
      <w:proofErr w:type="spellEnd"/>
      <w:r w:rsidR="00F246EE" w:rsidRPr="00F246EE">
        <w:rPr>
          <w:rFonts w:ascii="Times New Roman" w:eastAsia="Times New Roman" w:hAnsi="Times New Roman" w:cs="Times New Roman"/>
          <w:color w:val="000000"/>
          <w:sz w:val="24"/>
          <w:szCs w:val="24"/>
        </w:rPr>
        <w:t xml:space="preserve"> shall participate in the vote if any one of its Member States exercises its right to vote and vice versa.</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4. The Assembly shall meet in ordinary session once every two years upon convocation by the Director General of WIPO.</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5. The Assembly shall establish its own rules of procedure, including the convocation of extraordinary sessions, the requirements of a quorum and,</w:t>
      </w: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subject to the provisions of this Treaty, the required majority for various kinds of decisions.</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14</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International Bureau</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The International Bureau of WIPO shall perform the administrative tasks concerning the Treaty. These shall include the commissioning of regular studies on the implementation of the Treaty and the </w:t>
      </w:r>
      <w:proofErr w:type="spellStart"/>
      <w:r w:rsidRPr="00F246EE">
        <w:rPr>
          <w:rFonts w:ascii="Times New Roman" w:eastAsia="Times New Roman" w:hAnsi="Times New Roman" w:cs="Times New Roman"/>
          <w:color w:val="000000"/>
          <w:sz w:val="24"/>
          <w:szCs w:val="24"/>
        </w:rPr>
        <w:t>organisation</w:t>
      </w:r>
      <w:proofErr w:type="spellEnd"/>
      <w:r w:rsidRPr="00F246EE">
        <w:rPr>
          <w:rFonts w:ascii="Times New Roman" w:eastAsia="Times New Roman" w:hAnsi="Times New Roman" w:cs="Times New Roman"/>
          <w:color w:val="000000"/>
          <w:sz w:val="24"/>
          <w:szCs w:val="24"/>
        </w:rPr>
        <w:t xml:space="preserve"> of technical assistance to developing and transition nations to enable them to fully implement the provisions of this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15</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Eligibility for Becoming Party to the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1. Any Member State of WIPO may become party to this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2. The Assembly may decide to admit any intergovernmental </w:t>
      </w:r>
      <w:proofErr w:type="spellStart"/>
      <w:r w:rsidRPr="00F246EE">
        <w:rPr>
          <w:rFonts w:ascii="Times New Roman" w:eastAsia="Times New Roman" w:hAnsi="Times New Roman" w:cs="Times New Roman"/>
          <w:color w:val="000000"/>
          <w:sz w:val="24"/>
          <w:szCs w:val="24"/>
        </w:rPr>
        <w:t>organisation</w:t>
      </w:r>
      <w:proofErr w:type="spellEnd"/>
      <w:r w:rsidRPr="00F246EE">
        <w:rPr>
          <w:rFonts w:ascii="Times New Roman" w:eastAsia="Times New Roman" w:hAnsi="Times New Roman" w:cs="Times New Roman"/>
          <w:color w:val="000000"/>
          <w:sz w:val="24"/>
          <w:szCs w:val="24"/>
        </w:rPr>
        <w:t xml:space="preserve"> to become party to this Treaty which declares that it is competent in respect of, and has its own legislation binding on all its Member States on, matters covered by this Treaty and that it has been duly </w:t>
      </w:r>
      <w:proofErr w:type="spellStart"/>
      <w:r w:rsidRPr="00F246EE">
        <w:rPr>
          <w:rFonts w:ascii="Times New Roman" w:eastAsia="Times New Roman" w:hAnsi="Times New Roman" w:cs="Times New Roman"/>
          <w:color w:val="000000"/>
          <w:sz w:val="24"/>
          <w:szCs w:val="24"/>
        </w:rPr>
        <w:t>authorised</w:t>
      </w:r>
      <w:proofErr w:type="spellEnd"/>
      <w:r w:rsidRPr="00F246EE">
        <w:rPr>
          <w:rFonts w:ascii="Times New Roman" w:eastAsia="Times New Roman" w:hAnsi="Times New Roman" w:cs="Times New Roman"/>
          <w:color w:val="000000"/>
          <w:sz w:val="24"/>
          <w:szCs w:val="24"/>
        </w:rPr>
        <w:t xml:space="preserve">, in accordance with its internal procedures, to become party to this Treaty.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3. The European Union, having made the declaration referred to in the preceding paragraph in the Diplomatic Conference that has adopted this Treaty, may become party to this Treaty. </w:t>
      </w:r>
    </w:p>
    <w:p w:rsidR="009A7280" w:rsidRDefault="009A7280" w:rsidP="00F246EE">
      <w:pPr>
        <w:spacing w:after="0" w:line="240" w:lineRule="auto"/>
        <w:rPr>
          <w:rFonts w:ascii="Times New Roman" w:eastAsia="Times New Roman" w:hAnsi="Times New Roman" w:cs="Times New Roman"/>
          <w:sz w:val="24"/>
          <w:szCs w:val="24"/>
        </w:rPr>
      </w:pPr>
    </w:p>
    <w:p w:rsidR="00206053" w:rsidRPr="00F246EE" w:rsidRDefault="00206053"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16</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lastRenderedPageBreak/>
        <w:t>Rights and Obligations under the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Subject to any specific provisions to the contrary in this Treaty, each Contracting Party shall enjoy all of the rights and assume all of the obligations under this Treaty. </w:t>
      </w:r>
    </w:p>
    <w:p w:rsidR="00F246EE" w:rsidRDefault="00F246EE" w:rsidP="00F246EE">
      <w:pPr>
        <w:spacing w:after="0" w:line="240" w:lineRule="auto"/>
        <w:rPr>
          <w:rFonts w:ascii="Times New Roman" w:eastAsia="Times New Roman" w:hAnsi="Times New Roman" w:cs="Times New Roman"/>
          <w:sz w:val="24"/>
          <w:szCs w:val="24"/>
        </w:rPr>
      </w:pPr>
    </w:p>
    <w:p w:rsidR="00206053" w:rsidRDefault="00206053" w:rsidP="00F246EE">
      <w:pPr>
        <w:spacing w:after="0" w:line="240" w:lineRule="auto"/>
        <w:rPr>
          <w:rFonts w:ascii="Times New Roman" w:eastAsia="Times New Roman" w:hAnsi="Times New Roman" w:cs="Times New Roman"/>
          <w:sz w:val="24"/>
          <w:szCs w:val="24"/>
        </w:rPr>
      </w:pPr>
    </w:p>
    <w:p w:rsidR="00206053" w:rsidRPr="00F246EE" w:rsidRDefault="00206053"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17</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Signature of the Treaty</w:t>
      </w: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This Treaty shall be open for signature until December __________, by any Member State of WIPO and by the European Community.</w:t>
      </w: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18</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Entry into Force of the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This Treaty shall enter into force three months after 20 instruments of ratification or accession by States have been deposited with the Director General of WIPO.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19</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Effective Date of Becoming Party to the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This Treaty shall bind: </w:t>
      </w:r>
    </w:p>
    <w:p w:rsidR="009A7280" w:rsidRDefault="009A7280" w:rsidP="009A7280">
      <w:pPr>
        <w:spacing w:after="0" w:line="240" w:lineRule="auto"/>
        <w:rPr>
          <w:rFonts w:ascii="Times New Roman" w:eastAsia="Times New Roman" w:hAnsi="Times New Roman" w:cs="Times New Roman"/>
          <w:color w:val="000000"/>
          <w:sz w:val="24"/>
          <w:szCs w:val="24"/>
        </w:rPr>
      </w:pPr>
    </w:p>
    <w:p w:rsidR="00F246EE" w:rsidRPr="00F246EE" w:rsidRDefault="009A7280" w:rsidP="009A72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r w:rsidR="00F246EE" w:rsidRPr="00F246EE">
        <w:rPr>
          <w:rFonts w:ascii="Times New Roman" w:eastAsia="Times New Roman" w:hAnsi="Times New Roman" w:cs="Times New Roman"/>
          <w:color w:val="000000"/>
          <w:sz w:val="24"/>
          <w:szCs w:val="24"/>
        </w:rPr>
        <w:t xml:space="preserve"> the 20 States referred to in Article 15 from the date on which this Treaty has entered into force;</w:t>
      </w:r>
    </w:p>
    <w:p w:rsidR="00F246EE" w:rsidRPr="00F246EE" w:rsidRDefault="009A7280" w:rsidP="009A72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b)</w:t>
      </w:r>
      <w:r w:rsidR="00F246EE" w:rsidRPr="00F246EE">
        <w:rPr>
          <w:rFonts w:ascii="Times New Roman" w:eastAsia="Times New Roman" w:hAnsi="Times New Roman" w:cs="Times New Roman"/>
          <w:color w:val="000000"/>
          <w:sz w:val="24"/>
          <w:szCs w:val="24"/>
        </w:rPr>
        <w:t xml:space="preserve"> each other State from the expiration of three months from the date on which the State has deposited its instrument with the Director General of WIPO; </w:t>
      </w:r>
    </w:p>
    <w:p w:rsidR="00F246EE" w:rsidRPr="00F246EE" w:rsidRDefault="009A7280" w:rsidP="009A72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c)</w:t>
      </w:r>
      <w:r w:rsidR="00F246EE" w:rsidRPr="00F246EE">
        <w:rPr>
          <w:rFonts w:ascii="Times New Roman" w:eastAsia="Times New Roman" w:hAnsi="Times New Roman" w:cs="Times New Roman"/>
          <w:color w:val="000000"/>
          <w:sz w:val="24"/>
          <w:szCs w:val="24"/>
        </w:rPr>
        <w:t xml:space="preserve"> the European Union, from the expiration of three months after the deposit of its instrument of ratification or accession if such instrument has been deposited after the entry into force of this Treaty according to Article 25, or, three months after the entry into force of this Treaty if such instrument has been deposited before the entry into force of this Treaty; </w:t>
      </w:r>
    </w:p>
    <w:p w:rsidR="00F246EE" w:rsidRPr="00F246EE" w:rsidRDefault="009A7280" w:rsidP="009A72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d)</w:t>
      </w:r>
      <w:r w:rsidR="00F246EE" w:rsidRPr="00F246EE">
        <w:rPr>
          <w:rFonts w:ascii="Times New Roman" w:eastAsia="Times New Roman" w:hAnsi="Times New Roman" w:cs="Times New Roman"/>
          <w:color w:val="000000"/>
          <w:sz w:val="24"/>
          <w:szCs w:val="24"/>
        </w:rPr>
        <w:t xml:space="preserve"> any other intergovernmental </w:t>
      </w:r>
      <w:proofErr w:type="spellStart"/>
      <w:r w:rsidR="00F246EE" w:rsidRPr="00F246EE">
        <w:rPr>
          <w:rFonts w:ascii="Times New Roman" w:eastAsia="Times New Roman" w:hAnsi="Times New Roman" w:cs="Times New Roman"/>
          <w:color w:val="000000"/>
          <w:sz w:val="24"/>
          <w:szCs w:val="24"/>
        </w:rPr>
        <w:t>organisation</w:t>
      </w:r>
      <w:proofErr w:type="spellEnd"/>
      <w:r w:rsidR="00F246EE" w:rsidRPr="00F246EE">
        <w:rPr>
          <w:rFonts w:ascii="Times New Roman" w:eastAsia="Times New Roman" w:hAnsi="Times New Roman" w:cs="Times New Roman"/>
          <w:color w:val="000000"/>
          <w:sz w:val="24"/>
          <w:szCs w:val="24"/>
        </w:rPr>
        <w:t xml:space="preserve"> that is admitted to become party to this Treaty, from the expiration of three months after the deposit of its instrument of accession.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20</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Denunciation of the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This Treaty may be denounced by any Contracting Party by notification addressed to the Director General of WIPO. Any denunciation shall take effect one year from the date on which the Director General of WIPO received the notification.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21</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Languages of the Treaty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1. This Treaty is signed in a single original in English, Arabic, Chinese, French, Russian and Spanish languages, the versions in all these languages being equally authentic. </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2. An official text in any language other than those referred to in paragraph (1)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Community, and any other intergovernmental </w:t>
      </w:r>
      <w:proofErr w:type="spellStart"/>
      <w:r w:rsidRPr="00F246EE">
        <w:rPr>
          <w:rFonts w:ascii="Times New Roman" w:eastAsia="Times New Roman" w:hAnsi="Times New Roman" w:cs="Times New Roman"/>
          <w:color w:val="000000"/>
          <w:sz w:val="24"/>
          <w:szCs w:val="24"/>
        </w:rPr>
        <w:t>organisation</w:t>
      </w:r>
      <w:proofErr w:type="spellEnd"/>
      <w:r w:rsidRPr="00F246EE">
        <w:rPr>
          <w:rFonts w:ascii="Times New Roman" w:eastAsia="Times New Roman" w:hAnsi="Times New Roman" w:cs="Times New Roman"/>
          <w:color w:val="000000"/>
          <w:sz w:val="24"/>
          <w:szCs w:val="24"/>
        </w:rPr>
        <w:t xml:space="preserve"> that may become party to this Treaty, if one of its official languages is involved.</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Article 22</w:t>
      </w:r>
    </w:p>
    <w:p w:rsidR="00F246EE" w:rsidRPr="00F246EE" w:rsidRDefault="00F246EE" w:rsidP="00F246EE">
      <w:pPr>
        <w:spacing w:after="0" w:line="240" w:lineRule="auto"/>
        <w:jc w:val="center"/>
        <w:rPr>
          <w:rFonts w:ascii="Times New Roman" w:eastAsia="Times New Roman" w:hAnsi="Times New Roman" w:cs="Times New Roman"/>
          <w:sz w:val="24"/>
          <w:szCs w:val="24"/>
        </w:rPr>
      </w:pPr>
      <w:r w:rsidRPr="00F246EE">
        <w:rPr>
          <w:rFonts w:ascii="Times New Roman" w:eastAsia="Times New Roman" w:hAnsi="Times New Roman" w:cs="Times New Roman"/>
          <w:b/>
          <w:bCs/>
          <w:color w:val="000000"/>
          <w:sz w:val="24"/>
          <w:szCs w:val="24"/>
        </w:rPr>
        <w:t>Depositary</w:t>
      </w:r>
    </w:p>
    <w:p w:rsidR="00F246EE" w:rsidRPr="00F246EE" w:rsidRDefault="00F246EE" w:rsidP="00F246EE">
      <w:pPr>
        <w:spacing w:after="0" w:line="240" w:lineRule="auto"/>
        <w:rPr>
          <w:rFonts w:ascii="Times New Roman" w:eastAsia="Times New Roman" w:hAnsi="Times New Roman" w:cs="Times New Roman"/>
          <w:sz w:val="24"/>
          <w:szCs w:val="24"/>
        </w:rPr>
      </w:pPr>
    </w:p>
    <w:p w:rsidR="00F246EE" w:rsidRPr="00F246EE" w:rsidRDefault="00F246EE" w:rsidP="00F246EE">
      <w:pPr>
        <w:spacing w:after="0" w:line="240" w:lineRule="auto"/>
        <w:rPr>
          <w:rFonts w:ascii="Times New Roman" w:eastAsia="Times New Roman" w:hAnsi="Times New Roman" w:cs="Times New Roman"/>
          <w:sz w:val="24"/>
          <w:szCs w:val="24"/>
        </w:rPr>
      </w:pPr>
      <w:r w:rsidRPr="00F246EE">
        <w:rPr>
          <w:rFonts w:ascii="Times New Roman" w:eastAsia="Times New Roman" w:hAnsi="Times New Roman" w:cs="Times New Roman"/>
          <w:color w:val="000000"/>
          <w:sz w:val="24"/>
          <w:szCs w:val="24"/>
        </w:rPr>
        <w:t xml:space="preserve"> The Director General of WIPO is the depositary of this Treaty.</w:t>
      </w:r>
    </w:p>
    <w:p w:rsidR="00187490" w:rsidRDefault="00187490"/>
    <w:sectPr w:rsidR="00187490" w:rsidSect="00B423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30" w:rsidRDefault="00654A30" w:rsidP="00F246EE">
      <w:pPr>
        <w:spacing w:after="0" w:line="240" w:lineRule="auto"/>
      </w:pPr>
      <w:r>
        <w:separator/>
      </w:r>
    </w:p>
  </w:endnote>
  <w:endnote w:type="continuationSeparator" w:id="0">
    <w:p w:rsidR="00654A30" w:rsidRDefault="00654A30" w:rsidP="00F24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30" w:rsidRDefault="00654A30" w:rsidP="00F246EE">
      <w:pPr>
        <w:spacing w:after="0" w:line="240" w:lineRule="auto"/>
      </w:pPr>
      <w:r>
        <w:separator/>
      </w:r>
    </w:p>
  </w:footnote>
  <w:footnote w:type="continuationSeparator" w:id="0">
    <w:p w:rsidR="00654A30" w:rsidRDefault="00654A30" w:rsidP="00F246EE">
      <w:pPr>
        <w:spacing w:after="0" w:line="240" w:lineRule="auto"/>
      </w:pPr>
      <w:r>
        <w:continuationSeparator/>
      </w:r>
    </w:p>
  </w:footnote>
  <w:footnote w:id="1">
    <w:p w:rsidR="00F246EE" w:rsidRDefault="00F246EE" w:rsidP="00BB10FF">
      <w:pPr>
        <w:pStyle w:val="Footnote"/>
      </w:pPr>
      <w:r>
        <w:rPr>
          <w:rStyle w:val="Appelnotedebasdep"/>
        </w:rPr>
        <w:footnoteRef/>
      </w:r>
      <w:r>
        <w:t xml:space="preserve">  Based on SCCR/22/12 (African Group Proposal for a Draft WIPO Treaty on Exceptions and Limitations for the Persons With Disabilities, Educational and Research Institutions, Libraries and Archives)</w:t>
      </w:r>
    </w:p>
  </w:footnote>
  <w:footnote w:id="2">
    <w:p w:rsidR="00973459" w:rsidRDefault="00973459">
      <w:pPr>
        <w:pStyle w:val="Notedebasdepage"/>
      </w:pPr>
      <w:r>
        <w:rPr>
          <w:rStyle w:val="Appelnotedebasdep"/>
        </w:rPr>
        <w:footnoteRef/>
      </w:r>
      <w:r>
        <w:t xml:space="preserve"> See WCT Agreed Statement on Art. 10. </w:t>
      </w:r>
    </w:p>
  </w:footnote>
  <w:footnote w:id="3">
    <w:p w:rsidR="00F246EE" w:rsidRDefault="00F246EE" w:rsidP="00BB10FF">
      <w:pPr>
        <w:pStyle w:val="Footnote"/>
      </w:pPr>
      <w:r>
        <w:rPr>
          <w:rStyle w:val="Appelnotedebasdep"/>
        </w:rPr>
        <w:footnoteRef/>
      </w:r>
      <w:r>
        <w:t xml:space="preserve">  Based on SCCR/27/8 (“Objectives and Principles for Exceptions and Limitations for Educational, Teaching, and Research Institutions” submitted by the United States).</w:t>
      </w:r>
    </w:p>
  </w:footnote>
  <w:footnote w:id="4">
    <w:p w:rsidR="00F246EE" w:rsidRDefault="00F246EE" w:rsidP="00BB10FF">
      <w:pPr>
        <w:pStyle w:val="Footnote"/>
      </w:pPr>
      <w:r>
        <w:rPr>
          <w:rStyle w:val="Appelnotedebasdep"/>
        </w:rPr>
        <w:footnoteRef/>
      </w:r>
      <w:r>
        <w:t xml:space="preserve"> The </w:t>
      </w:r>
      <w:r>
        <w:rPr>
          <w:color w:val="222222"/>
          <w:shd w:val="clear" w:color="auto" w:fill="FFFFFF"/>
        </w:rPr>
        <w:t>WIPO Guide to the Berne Convention for the Protection of Literary and Artistic Works (Paris Act, 1971) explains that the concept of fair practice “implies an objective appreciation of what is normally considered admissible. The fairness or otherwise of what is done is ultimately a matter for the courts, who will no doubt consider such questions as the size of the extract in proportion both to the work from which it was taken and that in which it is used, and, particularly the extent to which, if any, the new work, by competing with the old, cuts in upon its sales and circulation, etc.”</w:t>
      </w:r>
    </w:p>
  </w:footnote>
  <w:footnote w:id="5">
    <w:p w:rsidR="00F246EE" w:rsidRDefault="00F246EE" w:rsidP="00BB10FF">
      <w:pPr>
        <w:pStyle w:val="Footnote"/>
      </w:pPr>
      <w:r>
        <w:rPr>
          <w:rStyle w:val="Appelnotedebasdep"/>
        </w:rPr>
        <w:footnoteRef/>
      </w:r>
      <w:r>
        <w:t xml:space="preserve"> </w:t>
      </w:r>
      <w:r>
        <w:rPr>
          <w:i/>
          <w:iCs/>
        </w:rPr>
        <w:t>See</w:t>
      </w:r>
      <w:r>
        <w:rPr>
          <w:rFonts w:ascii="Arial" w:hAnsi="Arial" w:cs="Arial"/>
          <w:sz w:val="22"/>
          <w:szCs w:val="22"/>
        </w:rPr>
        <w:t xml:space="preserve"> </w:t>
      </w:r>
      <w:r>
        <w:t>SCCR/33/6 (Seng Study).</w:t>
      </w:r>
    </w:p>
  </w:footnote>
  <w:footnote w:id="6">
    <w:p w:rsidR="00F246EE" w:rsidRDefault="00F246EE" w:rsidP="00BB10FF">
      <w:pPr>
        <w:pStyle w:val="Footnote"/>
      </w:pPr>
      <w:r>
        <w:rPr>
          <w:rStyle w:val="Appelnotedebasdep"/>
        </w:rPr>
        <w:footnoteRef/>
      </w:r>
      <w:r>
        <w:t xml:space="preserve"> </w:t>
      </w:r>
      <w:r>
        <w:rPr>
          <w:i/>
          <w:iCs/>
        </w:rPr>
        <w:t>See</w:t>
      </w:r>
      <w:r>
        <w:t xml:space="preserve"> Proposal from Brazil, SCCR/26/4 Prov. and SCCR/33/6.</w:t>
      </w:r>
    </w:p>
  </w:footnote>
  <w:footnote w:id="7">
    <w:p w:rsidR="00E163CC" w:rsidRDefault="00E163CC" w:rsidP="00BB10FF">
      <w:pPr>
        <w:pStyle w:val="Footnote"/>
      </w:pPr>
      <w:r>
        <w:rPr>
          <w:rStyle w:val="Appelnotedebasdep"/>
        </w:rPr>
        <w:footnoteRef/>
      </w:r>
      <w:r>
        <w:t xml:space="preserve"> </w:t>
      </w:r>
      <w:r>
        <w:rPr>
          <w:i/>
          <w:iCs/>
        </w:rPr>
        <w:t>See</w:t>
      </w:r>
      <w:r>
        <w:t xml:space="preserve"> SCCR/33/6.</w:t>
      </w:r>
    </w:p>
  </w:footnote>
  <w:footnote w:id="8">
    <w:p w:rsidR="00E163CC" w:rsidRDefault="00E163CC" w:rsidP="00BB10FF">
      <w:pPr>
        <w:pStyle w:val="Footnote"/>
      </w:pPr>
      <w:r>
        <w:rPr>
          <w:rStyle w:val="Appelnotedebasdep"/>
        </w:rPr>
        <w:footnoteRef/>
      </w:r>
      <w:r>
        <w:t xml:space="preserve"> </w:t>
      </w:r>
      <w:r>
        <w:rPr>
          <w:i/>
          <w:iCs/>
        </w:rPr>
        <w:t>See</w:t>
      </w:r>
      <w:r>
        <w:rPr>
          <w:rFonts w:ascii="Arial" w:hAnsi="Arial" w:cs="Arial"/>
          <w:sz w:val="22"/>
          <w:szCs w:val="22"/>
        </w:rPr>
        <w:t xml:space="preserve"> </w:t>
      </w:r>
      <w:r>
        <w:t>SCCR/33/6.</w:t>
      </w:r>
    </w:p>
  </w:footnote>
  <w:footnote w:id="9">
    <w:p w:rsidR="00E163CC" w:rsidRDefault="00E163CC" w:rsidP="00BB10FF">
      <w:pPr>
        <w:pStyle w:val="Footnote"/>
      </w:pPr>
      <w:r>
        <w:rPr>
          <w:rStyle w:val="Appelnotedebasdep"/>
        </w:rPr>
        <w:footnoteRef/>
      </w:r>
      <w:r>
        <w:t xml:space="preserve"> </w:t>
      </w:r>
      <w:r>
        <w:rPr>
          <w:i/>
          <w:iCs/>
        </w:rPr>
        <w:t>See</w:t>
      </w:r>
      <w:r>
        <w:t xml:space="preserve"> SCCR/33/Chart on Libraries Topic 11 and Proposal from African Group, SCCR/26/4 Prov.</w:t>
      </w:r>
    </w:p>
  </w:footnote>
  <w:footnote w:id="10">
    <w:p w:rsidR="00E163CC" w:rsidRDefault="00E163CC" w:rsidP="00BB10FF">
      <w:pPr>
        <w:pStyle w:val="Footnote"/>
      </w:pPr>
      <w:r>
        <w:rPr>
          <w:rStyle w:val="Appelnotedebasdep"/>
        </w:rPr>
        <w:footnoteRef/>
      </w:r>
      <w:r>
        <w:t xml:space="preserve"> </w:t>
      </w:r>
      <w:r>
        <w:rPr>
          <w:i/>
          <w:iCs/>
        </w:rPr>
        <w:t>See</w:t>
      </w:r>
      <w:r>
        <w:t xml:space="preserve"> Proposal from Brazil, SCCR/26/4 Prov. and SCCR/33/6.</w:t>
      </w:r>
    </w:p>
  </w:footnote>
  <w:footnote w:id="11">
    <w:p w:rsidR="00E163CC" w:rsidRDefault="00E163CC" w:rsidP="00BB10FF">
      <w:pPr>
        <w:pStyle w:val="Footnote"/>
      </w:pPr>
      <w:r>
        <w:rPr>
          <w:rStyle w:val="Appelnotedebasdep"/>
        </w:rPr>
        <w:footnoteRef/>
      </w:r>
      <w:r>
        <w:t xml:space="preserve"> </w:t>
      </w:r>
      <w:r>
        <w:rPr>
          <w:i/>
          <w:iCs/>
        </w:rPr>
        <w:t>See</w:t>
      </w:r>
      <w:r>
        <w:rPr>
          <w:rFonts w:ascii="Arial" w:hAnsi="Arial" w:cs="Arial"/>
          <w:sz w:val="22"/>
          <w:szCs w:val="22"/>
        </w:rPr>
        <w:t xml:space="preserve"> </w:t>
      </w:r>
      <w:r>
        <w:t>Proposal from African Group, SCCR/26/4 Prov. and SCCR/33/6.</w:t>
      </w:r>
    </w:p>
  </w:footnote>
  <w:footnote w:id="12">
    <w:p w:rsidR="00E163CC" w:rsidRDefault="00E163CC" w:rsidP="00BB10FF">
      <w:pPr>
        <w:pStyle w:val="Footnote"/>
      </w:pPr>
      <w:r>
        <w:rPr>
          <w:rStyle w:val="Appelnotedebasdep"/>
        </w:rPr>
        <w:footnoteRef/>
      </w:r>
      <w:r>
        <w:t xml:space="preserve"> </w:t>
      </w:r>
      <w:r>
        <w:rPr>
          <w:i/>
          <w:iCs/>
        </w:rPr>
        <w:t>See</w:t>
      </w:r>
      <w:r>
        <w:t xml:space="preserve"> SCCR/33/Chart on Libraries Topic 11 and Proposal from African Group, SCCR/26/4 Prov.</w:t>
      </w:r>
    </w:p>
  </w:footnote>
  <w:footnote w:id="13">
    <w:p w:rsidR="009D1CA5" w:rsidRDefault="009D1CA5" w:rsidP="00BB10FF">
      <w:pPr>
        <w:pStyle w:val="Footnote"/>
      </w:pPr>
      <w:r>
        <w:rPr>
          <w:rStyle w:val="Appelnotedebasdep"/>
        </w:rPr>
        <w:footnoteRef/>
      </w:r>
      <w:r>
        <w:t xml:space="preserve"> </w:t>
      </w:r>
      <w:r>
        <w:rPr>
          <w:i/>
          <w:iCs/>
        </w:rPr>
        <w:t>See</w:t>
      </w:r>
      <w:r>
        <w:t xml:space="preserve"> SCCR/33/Chart on Libraries Topic 7 and SCCR/35/5 Rev.</w:t>
      </w:r>
    </w:p>
  </w:footnote>
  <w:footnote w:id="14">
    <w:p w:rsidR="009D1CA5" w:rsidRDefault="009D1CA5" w:rsidP="00BB10FF">
      <w:pPr>
        <w:pStyle w:val="Footnote"/>
      </w:pPr>
      <w:r>
        <w:rPr>
          <w:rStyle w:val="Appelnotedebasdep"/>
        </w:rPr>
        <w:footnoteRef/>
      </w:r>
      <w:r>
        <w:t xml:space="preserve"> </w:t>
      </w:r>
      <w:r>
        <w:rPr>
          <w:i/>
          <w:iCs/>
        </w:rPr>
        <w:t>See</w:t>
      </w:r>
      <w:r>
        <w:rPr>
          <w:rFonts w:ascii="Arial" w:hAnsi="Arial" w:cs="Arial"/>
          <w:sz w:val="22"/>
          <w:szCs w:val="22"/>
        </w:rPr>
        <w:t xml:space="preserve"> </w:t>
      </w:r>
      <w:r>
        <w:t>Proposal from African Group, SCCR/26/4 Prov.</w:t>
      </w:r>
    </w:p>
  </w:footnote>
  <w:footnote w:id="15">
    <w:p w:rsidR="009D1CA5" w:rsidRDefault="009D1CA5" w:rsidP="00BB10FF">
      <w:pPr>
        <w:pStyle w:val="Footnote"/>
      </w:pPr>
      <w:r>
        <w:rPr>
          <w:rStyle w:val="Appelnotedebasdep"/>
        </w:rPr>
        <w:footnoteRef/>
      </w:r>
      <w:r>
        <w:t xml:space="preserve">  </w:t>
      </w:r>
      <w:r>
        <w:rPr>
          <w:i/>
          <w:iCs/>
        </w:rPr>
        <w:t>See</w:t>
      </w:r>
      <w:r>
        <w:rPr>
          <w:rFonts w:ascii="Arial" w:hAnsi="Arial" w:cs="Arial"/>
          <w:sz w:val="22"/>
          <w:szCs w:val="22"/>
        </w:rPr>
        <w:t xml:space="preserve"> </w:t>
      </w:r>
      <w:r>
        <w:t>Proposal from African Group, SCCR/26/4 Prov.</w:t>
      </w:r>
    </w:p>
  </w:footnote>
  <w:footnote w:id="16">
    <w:p w:rsidR="009D1CA5" w:rsidRDefault="009D1CA5" w:rsidP="00BB10FF">
      <w:pPr>
        <w:pStyle w:val="Footnote"/>
      </w:pPr>
      <w:r>
        <w:rPr>
          <w:rStyle w:val="Appelnotedebasdep"/>
        </w:rPr>
        <w:footnoteRef/>
      </w:r>
      <w:r>
        <w:t xml:space="preserve"> </w:t>
      </w:r>
      <w:r>
        <w:rPr>
          <w:i/>
          <w:iCs/>
        </w:rPr>
        <w:t>See</w:t>
      </w:r>
      <w:r>
        <w:rPr>
          <w:rFonts w:ascii="Arial" w:hAnsi="Arial" w:cs="Arial"/>
          <w:sz w:val="22"/>
          <w:szCs w:val="22"/>
        </w:rPr>
        <w:t xml:space="preserve"> </w:t>
      </w:r>
      <w:r>
        <w:t>Proposal from African Group, SCCR/26/4 Prov.</w:t>
      </w:r>
    </w:p>
  </w:footnote>
  <w:footnote w:id="17">
    <w:p w:rsidR="009D1CA5" w:rsidRDefault="009D1CA5" w:rsidP="00BB10FF">
      <w:pPr>
        <w:pStyle w:val="Footnote"/>
      </w:pPr>
      <w:r>
        <w:rPr>
          <w:rStyle w:val="Appelnotedebasdep"/>
        </w:rPr>
        <w:footnoteRef/>
      </w:r>
      <w:r>
        <w:t xml:space="preserve"> </w:t>
      </w:r>
      <w:r>
        <w:rPr>
          <w:i/>
          <w:iCs/>
        </w:rPr>
        <w:t>See</w:t>
      </w:r>
      <w:r>
        <w:rPr>
          <w:rFonts w:ascii="Arial" w:hAnsi="Arial" w:cs="Arial"/>
          <w:sz w:val="22"/>
          <w:szCs w:val="22"/>
        </w:rPr>
        <w:t xml:space="preserve"> </w:t>
      </w:r>
      <w:r>
        <w:t>SCCR/33/6.</w:t>
      </w:r>
    </w:p>
  </w:footnote>
  <w:footnote w:id="18">
    <w:p w:rsidR="009D1CA5" w:rsidRDefault="009D1CA5" w:rsidP="00BB10FF">
      <w:pPr>
        <w:pStyle w:val="Footnote"/>
      </w:pPr>
      <w:r>
        <w:rPr>
          <w:rStyle w:val="Appelnotedebasdep"/>
        </w:rPr>
        <w:footnoteRef/>
      </w:r>
      <w:r>
        <w:t xml:space="preserve"> </w:t>
      </w:r>
      <w:r>
        <w:rPr>
          <w:i/>
          <w:iCs/>
        </w:rPr>
        <w:t>See</w:t>
      </w:r>
      <w:r>
        <w:t xml:space="preserve"> SCCR/33/6;</w:t>
      </w:r>
      <w:r>
        <w:rPr>
          <w:rFonts w:ascii="Arial" w:hAnsi="Arial" w:cs="Arial"/>
          <w:sz w:val="22"/>
          <w:szCs w:val="22"/>
        </w:rPr>
        <w:t xml:space="preserve"> </w:t>
      </w:r>
      <w:r>
        <w:t>Proposal from Brazil, SCCR/26/4 Prov.; Berne Convention art. 10(1).</w:t>
      </w:r>
    </w:p>
  </w:footnote>
  <w:footnote w:id="19">
    <w:p w:rsidR="009D1CA5" w:rsidRDefault="009D1CA5" w:rsidP="00BB10FF">
      <w:pPr>
        <w:pStyle w:val="Footnote"/>
      </w:pPr>
      <w:r>
        <w:rPr>
          <w:rStyle w:val="Appelnotedebasdep"/>
        </w:rPr>
        <w:footnoteRef/>
      </w:r>
      <w:r>
        <w:t xml:space="preserve"> </w:t>
      </w:r>
      <w:r>
        <w:rPr>
          <w:i/>
          <w:iCs/>
        </w:rPr>
        <w:t>See</w:t>
      </w:r>
      <w:r>
        <w:t xml:space="preserve"> SCCR/33/Chart on Libraries Topic 6 and SCCR/35/5 Rev.</w:t>
      </w:r>
    </w:p>
  </w:footnote>
  <w:footnote w:id="20">
    <w:p w:rsidR="009D1CA5" w:rsidRDefault="009D1CA5" w:rsidP="00BB10FF">
      <w:pPr>
        <w:pStyle w:val="Footnote"/>
      </w:pPr>
      <w:r>
        <w:rPr>
          <w:rStyle w:val="Appelnotedebasdep"/>
        </w:rPr>
        <w:footnoteRef/>
      </w:r>
      <w:r>
        <w:t xml:space="preserve"> </w:t>
      </w:r>
      <w:r>
        <w:rPr>
          <w:szCs w:val="20"/>
        </w:rPr>
        <w:t>Marrakesh Treaty to Facilitate Access to Published Works for Persons Who Are Blind, Visually Impaired or Otherwise Print Disabled Art. 5(1).</w:t>
      </w:r>
    </w:p>
  </w:footnote>
  <w:footnote w:id="21">
    <w:p w:rsidR="00C84819" w:rsidRDefault="00C84819" w:rsidP="00BB10FF">
      <w:pPr>
        <w:pStyle w:val="Footnote"/>
      </w:pPr>
      <w:r>
        <w:rPr>
          <w:rStyle w:val="Appelnotedebasdep"/>
        </w:rPr>
        <w:footnoteRef/>
      </w:r>
      <w:r>
        <w:t xml:space="preserve"> </w:t>
      </w:r>
      <w:r>
        <w:rPr>
          <w:i/>
          <w:iCs/>
        </w:rPr>
        <w:t>See</w:t>
      </w:r>
      <w:r>
        <w:t xml:space="preserve"> SCCR/35/5 Rev. and Proposal from the African Group, SCCR/26/4 Prov.</w:t>
      </w:r>
    </w:p>
  </w:footnote>
  <w:footnote w:id="22">
    <w:p w:rsidR="00C84819" w:rsidRDefault="00C84819" w:rsidP="00BB10FF">
      <w:pPr>
        <w:pStyle w:val="Footnote"/>
      </w:pPr>
      <w:r>
        <w:rPr>
          <w:rStyle w:val="Appelnotedebasdep"/>
        </w:rPr>
        <w:footnoteRef/>
      </w:r>
      <w:r>
        <w:t xml:space="preserve"> </w:t>
      </w:r>
      <w:r>
        <w:rPr>
          <w:i/>
          <w:iCs/>
        </w:rPr>
        <w:t>See</w:t>
      </w:r>
      <w:r>
        <w:t xml:space="preserve"> SCCR/33/6.</w:t>
      </w:r>
    </w:p>
  </w:footnote>
  <w:footnote w:id="23">
    <w:p w:rsidR="00C84819" w:rsidRDefault="00C84819" w:rsidP="00BB10FF">
      <w:pPr>
        <w:pStyle w:val="Footnote"/>
      </w:pPr>
      <w:r>
        <w:rPr>
          <w:rStyle w:val="Appelnotedebasdep"/>
        </w:rPr>
        <w:footnoteRef/>
      </w:r>
      <w:r>
        <w:t xml:space="preserve"> </w:t>
      </w:r>
      <w:r>
        <w:rPr>
          <w:i/>
          <w:iCs/>
        </w:rPr>
        <w:t>See</w:t>
      </w:r>
      <w:r>
        <w:t xml:space="preserve"> SCCR/33/Chart on Libraries Topic 8 and SCCR/35/5 Rev.</w:t>
      </w:r>
    </w:p>
  </w:footnote>
  <w:footnote w:id="24">
    <w:p w:rsidR="00C84819" w:rsidRDefault="00C84819" w:rsidP="00BB10FF">
      <w:pPr>
        <w:pStyle w:val="Footnote"/>
      </w:pPr>
      <w:r>
        <w:rPr>
          <w:rStyle w:val="Appelnotedebasdep"/>
        </w:rPr>
        <w:footnoteRef/>
      </w:r>
      <w:r>
        <w:t xml:space="preserve"> Proposal from Ecuador, Peru and Uruguay, SCCR/26/4 Prov.</w:t>
      </w:r>
    </w:p>
  </w:footnote>
  <w:footnote w:id="25">
    <w:p w:rsidR="00C84819" w:rsidRDefault="00C84819" w:rsidP="00BB10FF">
      <w:pPr>
        <w:pStyle w:val="Footnote"/>
      </w:pPr>
      <w:r>
        <w:rPr>
          <w:rStyle w:val="Appelnotedebasdep"/>
        </w:rPr>
        <w:footnoteRef/>
      </w:r>
      <w:r>
        <w:t xml:space="preserve"> </w:t>
      </w:r>
      <w:r>
        <w:rPr>
          <w:rFonts w:ascii="Arial" w:hAnsi="Arial" w:cs="Arial"/>
          <w:sz w:val="22"/>
          <w:szCs w:val="22"/>
        </w:rPr>
        <w:t xml:space="preserve"> </w:t>
      </w:r>
      <w:r>
        <w:t>Proposal from Ecuador, Peru and Uruguay, SCCR/26/4 Prov.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B6E"/>
    <w:multiLevelType w:val="hybridMultilevel"/>
    <w:tmpl w:val="C8003BC4"/>
    <w:lvl w:ilvl="0" w:tplc="6C24FCC0">
      <w:start w:val="1"/>
      <w:numFmt w:val="lowerLetter"/>
      <w:lvlText w:val="%1)"/>
      <w:lvlJc w:val="left"/>
      <w:pPr>
        <w:ind w:left="1080" w:hanging="360"/>
      </w:pPr>
      <w:rPr>
        <w:rFonts w:hint="default"/>
      </w:rPr>
    </w:lvl>
    <w:lvl w:ilvl="1" w:tplc="617412CE">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246EE"/>
    <w:rsid w:val="0001294F"/>
    <w:rsid w:val="00140AEF"/>
    <w:rsid w:val="00177C33"/>
    <w:rsid w:val="00187490"/>
    <w:rsid w:val="00206053"/>
    <w:rsid w:val="0031523B"/>
    <w:rsid w:val="00382F20"/>
    <w:rsid w:val="004618DF"/>
    <w:rsid w:val="00562F58"/>
    <w:rsid w:val="005C7CCD"/>
    <w:rsid w:val="00654A30"/>
    <w:rsid w:val="009160B3"/>
    <w:rsid w:val="00973459"/>
    <w:rsid w:val="009A7280"/>
    <w:rsid w:val="009D1CA5"/>
    <w:rsid w:val="00B42323"/>
    <w:rsid w:val="00BB10FF"/>
    <w:rsid w:val="00C84819"/>
    <w:rsid w:val="00D80D09"/>
    <w:rsid w:val="00E163CC"/>
    <w:rsid w:val="00F246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23"/>
  </w:style>
  <w:style w:type="paragraph" w:styleId="Titre1">
    <w:name w:val="heading 1"/>
    <w:basedOn w:val="Normal"/>
    <w:link w:val="Titre1Car"/>
    <w:uiPriority w:val="9"/>
    <w:qFormat/>
    <w:rsid w:val="00F24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46E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246E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246EE"/>
    <w:rPr>
      <w:color w:val="0000FF"/>
      <w:u w:val="single"/>
    </w:rPr>
  </w:style>
  <w:style w:type="paragraph" w:styleId="Notedebasdepage">
    <w:name w:val="footnote text"/>
    <w:basedOn w:val="Normal"/>
    <w:link w:val="NotedebasdepageCar"/>
    <w:uiPriority w:val="99"/>
    <w:semiHidden/>
    <w:unhideWhenUsed/>
    <w:rsid w:val="00F246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46EE"/>
    <w:rPr>
      <w:sz w:val="20"/>
      <w:szCs w:val="20"/>
    </w:rPr>
  </w:style>
  <w:style w:type="character" w:styleId="Appelnotedebasdep">
    <w:name w:val="footnote reference"/>
    <w:basedOn w:val="Policepardfaut"/>
    <w:uiPriority w:val="99"/>
    <w:semiHidden/>
    <w:unhideWhenUsed/>
    <w:rsid w:val="00F246EE"/>
    <w:rPr>
      <w:vertAlign w:val="superscript"/>
    </w:rPr>
  </w:style>
  <w:style w:type="paragraph" w:customStyle="1" w:styleId="Footnote">
    <w:name w:val="Footnote"/>
    <w:basedOn w:val="NormalWeb"/>
    <w:qFormat/>
    <w:rsid w:val="00206053"/>
    <w:pPr>
      <w:spacing w:before="0" w:beforeAutospacing="0" w:after="0" w:afterAutospacing="0"/>
    </w:pPr>
    <w:rPr>
      <w:color w:val="000000"/>
      <w:sz w:val="20"/>
    </w:rPr>
  </w:style>
  <w:style w:type="paragraph" w:styleId="Paragraphedeliste">
    <w:name w:val="List Paragraph"/>
    <w:basedOn w:val="Normal"/>
    <w:uiPriority w:val="34"/>
    <w:qFormat/>
    <w:rsid w:val="00BB10FF"/>
    <w:pPr>
      <w:ind w:left="720"/>
      <w:contextualSpacing/>
    </w:pPr>
  </w:style>
  <w:style w:type="paragraph" w:styleId="Textedebulles">
    <w:name w:val="Balloon Text"/>
    <w:basedOn w:val="Normal"/>
    <w:link w:val="TextedebullesCar"/>
    <w:uiPriority w:val="99"/>
    <w:semiHidden/>
    <w:unhideWhenUsed/>
    <w:rsid w:val="002060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0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1690414">
      <w:bodyDiv w:val="1"/>
      <w:marLeft w:val="0"/>
      <w:marRight w:val="0"/>
      <w:marTop w:val="0"/>
      <w:marBottom w:val="0"/>
      <w:divBdr>
        <w:top w:val="none" w:sz="0" w:space="0" w:color="auto"/>
        <w:left w:val="none" w:sz="0" w:space="0" w:color="auto"/>
        <w:bottom w:val="none" w:sz="0" w:space="0" w:color="auto"/>
        <w:right w:val="none" w:sz="0" w:space="0" w:color="auto"/>
      </w:divBdr>
    </w:div>
    <w:div w:id="342167174">
      <w:bodyDiv w:val="1"/>
      <w:marLeft w:val="0"/>
      <w:marRight w:val="0"/>
      <w:marTop w:val="0"/>
      <w:marBottom w:val="0"/>
      <w:divBdr>
        <w:top w:val="none" w:sz="0" w:space="0" w:color="auto"/>
        <w:left w:val="none" w:sz="0" w:space="0" w:color="auto"/>
        <w:bottom w:val="none" w:sz="0" w:space="0" w:color="auto"/>
        <w:right w:val="none" w:sz="0" w:space="0" w:color="auto"/>
      </w:divBdr>
    </w:div>
    <w:div w:id="626543064">
      <w:bodyDiv w:val="1"/>
      <w:marLeft w:val="0"/>
      <w:marRight w:val="0"/>
      <w:marTop w:val="0"/>
      <w:marBottom w:val="0"/>
      <w:divBdr>
        <w:top w:val="none" w:sz="0" w:space="0" w:color="auto"/>
        <w:left w:val="none" w:sz="0" w:space="0" w:color="auto"/>
        <w:bottom w:val="none" w:sz="0" w:space="0" w:color="auto"/>
        <w:right w:val="none" w:sz="0" w:space="0" w:color="auto"/>
      </w:divBdr>
    </w:div>
    <w:div w:id="861095244">
      <w:bodyDiv w:val="1"/>
      <w:marLeft w:val="0"/>
      <w:marRight w:val="0"/>
      <w:marTop w:val="0"/>
      <w:marBottom w:val="0"/>
      <w:divBdr>
        <w:top w:val="none" w:sz="0" w:space="0" w:color="auto"/>
        <w:left w:val="none" w:sz="0" w:space="0" w:color="auto"/>
        <w:bottom w:val="none" w:sz="0" w:space="0" w:color="auto"/>
        <w:right w:val="none" w:sz="0" w:space="0" w:color="auto"/>
      </w:divBdr>
    </w:div>
    <w:div w:id="1421415353">
      <w:bodyDiv w:val="1"/>
      <w:marLeft w:val="0"/>
      <w:marRight w:val="0"/>
      <w:marTop w:val="0"/>
      <w:marBottom w:val="0"/>
      <w:divBdr>
        <w:top w:val="none" w:sz="0" w:space="0" w:color="auto"/>
        <w:left w:val="none" w:sz="0" w:space="0" w:color="auto"/>
        <w:bottom w:val="none" w:sz="0" w:space="0" w:color="auto"/>
        <w:right w:val="none" w:sz="0" w:space="0" w:color="auto"/>
      </w:divBdr>
    </w:div>
    <w:div w:id="1579705311">
      <w:bodyDiv w:val="1"/>
      <w:marLeft w:val="0"/>
      <w:marRight w:val="0"/>
      <w:marTop w:val="0"/>
      <w:marBottom w:val="0"/>
      <w:divBdr>
        <w:top w:val="none" w:sz="0" w:space="0" w:color="auto"/>
        <w:left w:val="none" w:sz="0" w:space="0" w:color="auto"/>
        <w:bottom w:val="none" w:sz="0" w:space="0" w:color="auto"/>
        <w:right w:val="none" w:sz="0" w:space="0" w:color="auto"/>
      </w:divBdr>
    </w:div>
    <w:div w:id="1689716229">
      <w:bodyDiv w:val="1"/>
      <w:marLeft w:val="0"/>
      <w:marRight w:val="0"/>
      <w:marTop w:val="0"/>
      <w:marBottom w:val="0"/>
      <w:divBdr>
        <w:top w:val="none" w:sz="0" w:space="0" w:color="auto"/>
        <w:left w:val="none" w:sz="0" w:space="0" w:color="auto"/>
        <w:bottom w:val="none" w:sz="0" w:space="0" w:color="auto"/>
        <w:right w:val="none" w:sz="0" w:space="0" w:color="auto"/>
      </w:divBdr>
    </w:div>
    <w:div w:id="1733307860">
      <w:bodyDiv w:val="1"/>
      <w:marLeft w:val="0"/>
      <w:marRight w:val="0"/>
      <w:marTop w:val="0"/>
      <w:marBottom w:val="0"/>
      <w:divBdr>
        <w:top w:val="none" w:sz="0" w:space="0" w:color="auto"/>
        <w:left w:val="none" w:sz="0" w:space="0" w:color="auto"/>
        <w:bottom w:val="none" w:sz="0" w:space="0" w:color="auto"/>
        <w:right w:val="none" w:sz="0" w:space="0" w:color="auto"/>
      </w:divBdr>
    </w:div>
    <w:div w:id="1843229874">
      <w:bodyDiv w:val="1"/>
      <w:marLeft w:val="0"/>
      <w:marRight w:val="0"/>
      <w:marTop w:val="0"/>
      <w:marBottom w:val="0"/>
      <w:divBdr>
        <w:top w:val="none" w:sz="0" w:space="0" w:color="auto"/>
        <w:left w:val="none" w:sz="0" w:space="0" w:color="auto"/>
        <w:bottom w:val="none" w:sz="0" w:space="0" w:color="auto"/>
        <w:right w:val="none" w:sz="0" w:space="0" w:color="auto"/>
      </w:divBdr>
    </w:div>
    <w:div w:id="21268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4412-5690-400D-8353-DA361C0E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Palmedo</dc:creator>
  <cp:lastModifiedBy>Catherine</cp:lastModifiedBy>
  <cp:revision>2</cp:revision>
  <cp:lastPrinted>2018-10-01T15:59:00Z</cp:lastPrinted>
  <dcterms:created xsi:type="dcterms:W3CDTF">2018-10-08T09:04:00Z</dcterms:created>
  <dcterms:modified xsi:type="dcterms:W3CDTF">2018-10-08T09:04:00Z</dcterms:modified>
</cp:coreProperties>
</file>