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1C" w:rsidRDefault="00245C1C" w:rsidP="00A10E60">
      <w:pPr>
        <w:ind w:left="3600" w:firstLine="936"/>
        <w:rPr>
          <w:rFonts w:ascii="Arial" w:hAnsi="Arial" w:cs="Arial"/>
          <w:sz w:val="22"/>
          <w:szCs w:val="22"/>
          <w:lang w:val="en-GB"/>
        </w:rPr>
      </w:pPr>
      <w:bookmarkStart w:id="0" w:name="_GoBack"/>
      <w:bookmarkEnd w:id="0"/>
    </w:p>
    <w:p w:rsidR="00C625D6" w:rsidRPr="00AE2B37" w:rsidRDefault="00C625D6" w:rsidP="00C625D6">
      <w:pPr>
        <w:ind w:hanging="284"/>
        <w:rPr>
          <w:rFonts w:ascii="Arial" w:hAnsi="Arial" w:cs="Arial"/>
          <w:b/>
          <w:smallCaps/>
          <w:color w:val="00B0F0"/>
          <w:sz w:val="36"/>
          <w:szCs w:val="36"/>
          <w:lang w:val="en-GB"/>
        </w:rPr>
      </w:pPr>
      <w:r w:rsidRPr="00AE2B37">
        <w:rPr>
          <w:rFonts w:ascii="Arial" w:hAnsi="Arial" w:cs="Arial"/>
          <w:b/>
          <w:smallCaps/>
          <w:color w:val="00B0F0"/>
          <w:sz w:val="36"/>
          <w:szCs w:val="36"/>
          <w:lang w:val="en-GB"/>
        </w:rPr>
        <w:t>Revised programme</w:t>
      </w:r>
    </w:p>
    <w:tbl>
      <w:tblPr>
        <w:tblStyle w:val="LightList-Accent1"/>
        <w:tblpPr w:leftFromText="180" w:rightFromText="180" w:vertAnchor="text" w:horzAnchor="margin" w:tblpXSpec="right" w:tblpY="337"/>
        <w:tblW w:w="9472" w:type="dxa"/>
        <w:tblBorders>
          <w:top w:val="none" w:sz="0" w:space="0" w:color="auto"/>
          <w:left w:val="none" w:sz="0" w:space="0" w:color="auto"/>
          <w:bottom w:val="single" w:sz="12" w:space="0" w:color="365F91" w:themeColor="accent1" w:themeShade="BF"/>
          <w:right w:val="none" w:sz="0" w:space="0" w:color="auto"/>
        </w:tblBorders>
        <w:tblLook w:val="04A0" w:firstRow="1" w:lastRow="0" w:firstColumn="1" w:lastColumn="0" w:noHBand="0" w:noVBand="1"/>
      </w:tblPr>
      <w:tblGrid>
        <w:gridCol w:w="779"/>
        <w:gridCol w:w="8693"/>
      </w:tblGrid>
      <w:tr w:rsidR="00C625D6" w:rsidRPr="00C625D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72" w:type="dxa"/>
            <w:gridSpan w:val="2"/>
            <w:tcBorders>
              <w:bottom w:val="single" w:sz="12" w:space="0" w:color="365F91" w:themeColor="accent1" w:themeShade="BF"/>
            </w:tcBorders>
            <w:shd w:val="clear" w:color="auto" w:fill="auto"/>
            <w:vAlign w:val="bottom"/>
          </w:tcPr>
          <w:p w:rsidR="00C625D6" w:rsidRPr="00B61F46" w:rsidRDefault="00C625D6" w:rsidP="00C625D6">
            <w:pPr>
              <w:rPr>
                <w:rFonts w:ascii="Arial" w:hAnsi="Arial" w:cs="Arial"/>
                <w:b w:val="0"/>
                <w:bCs w:val="0"/>
                <w:smallCaps/>
                <w:color w:val="6DCFF6"/>
              </w:rPr>
            </w:pPr>
            <w:r w:rsidRPr="00AE2B37">
              <w:rPr>
                <w:rFonts w:ascii="Arial" w:hAnsi="Arial" w:cs="Arial"/>
                <w:smallCaps/>
                <w:color w:val="00B0F0"/>
              </w:rPr>
              <w:t xml:space="preserve">13 March 2012                                                                    </w:t>
            </w:r>
            <w:r w:rsidR="00B61F46" w:rsidRPr="00AE2B37">
              <w:rPr>
                <w:rFonts w:ascii="Arial" w:hAnsi="Arial" w:cs="Arial"/>
                <w:smallCaps/>
                <w:color w:val="00B0F0"/>
              </w:rPr>
              <w:t xml:space="preserve">       </w:t>
            </w:r>
            <w:r w:rsidRPr="00AE2B37">
              <w:rPr>
                <w:rFonts w:ascii="Arial" w:hAnsi="Arial" w:cs="Arial"/>
                <w:smallCaps/>
                <w:color w:val="00B0F0"/>
              </w:rPr>
              <w:t xml:space="preserve">    </w:t>
            </w:r>
            <w:r w:rsidR="00D10EC2" w:rsidRPr="00AE2B37">
              <w:rPr>
                <w:rFonts w:ascii="Arial" w:hAnsi="Arial" w:cs="Arial"/>
                <w:b w:val="0"/>
                <w:bCs w:val="0"/>
                <w:smallCaps/>
                <w:color w:val="00B0F0"/>
              </w:rPr>
              <w:t xml:space="preserve">              </w:t>
            </w:r>
            <w:r w:rsidRPr="00AE2B37">
              <w:rPr>
                <w:rFonts w:ascii="Arial" w:hAnsi="Arial" w:cs="Arial"/>
                <w:smallCaps/>
                <w:color w:val="00B0F0"/>
              </w:rPr>
              <w:t xml:space="preserve"> </w:t>
            </w:r>
            <w:r w:rsidR="00D10EC2" w:rsidRPr="00AE2B37">
              <w:rPr>
                <w:rFonts w:ascii="Arial" w:hAnsi="Arial" w:cs="Arial"/>
                <w:smallCaps/>
                <w:color w:val="00B0F0"/>
              </w:rPr>
              <w:t xml:space="preserve">Grand </w:t>
            </w:r>
            <w:r w:rsidRPr="00AE2B37">
              <w:rPr>
                <w:rFonts w:ascii="Arial" w:hAnsi="Arial" w:cs="Arial"/>
                <w:smallCaps/>
                <w:color w:val="00B0F0"/>
              </w:rPr>
              <w:t xml:space="preserve">Hotel Kempinski </w:t>
            </w:r>
          </w:p>
        </w:tc>
      </w:tr>
      <w:tr w:rsidR="00C625D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779" w:type="dxa"/>
            <w:tcBorders>
              <w:top w:val="single" w:sz="12" w:space="0" w:color="365F91" w:themeColor="accent1" w:themeShade="BF"/>
              <w:left w:val="none" w:sz="0" w:space="0" w:color="auto"/>
              <w:bottom w:val="none" w:sz="0" w:space="0" w:color="auto"/>
            </w:tcBorders>
          </w:tcPr>
          <w:p w:rsidR="00C625D6" w:rsidRPr="00AE2B37" w:rsidRDefault="00C625D6" w:rsidP="001C3CBE">
            <w:pPr>
              <w:spacing w:before="240"/>
              <w:rPr>
                <w:rFonts w:ascii="Arial" w:hAnsi="Arial" w:cs="Arial"/>
                <w:bCs w:val="0"/>
                <w:color w:val="00B0F0"/>
                <w:sz w:val="22"/>
                <w:szCs w:val="22"/>
              </w:rPr>
            </w:pPr>
            <w:r w:rsidRPr="00AE2B37">
              <w:rPr>
                <w:rFonts w:ascii="Arial" w:hAnsi="Arial" w:cs="Arial"/>
                <w:color w:val="00B0F0"/>
                <w:sz w:val="22"/>
                <w:szCs w:val="22"/>
              </w:rPr>
              <w:t xml:space="preserve">19:30 </w:t>
            </w:r>
          </w:p>
        </w:tc>
        <w:tc>
          <w:tcPr>
            <w:tcW w:w="8693" w:type="dxa"/>
            <w:tcBorders>
              <w:top w:val="single" w:sz="12" w:space="0" w:color="365F91" w:themeColor="accent1" w:themeShade="BF"/>
              <w:bottom w:val="none" w:sz="0" w:space="0" w:color="auto"/>
              <w:right w:val="none" w:sz="0" w:space="0" w:color="auto"/>
            </w:tcBorders>
          </w:tcPr>
          <w:p w:rsidR="001C3CBE" w:rsidRDefault="00C625D6" w:rsidP="001C3CBE">
            <w:pPr>
              <w:spacing w:before="240"/>
              <w:cnfStyle w:val="000000100000" w:firstRow="0" w:lastRow="0" w:firstColumn="0" w:lastColumn="0" w:oddVBand="0" w:evenVBand="0" w:oddHBand="1" w:evenHBand="0" w:firstRowFirstColumn="0" w:firstRowLastColumn="0" w:lastRowFirstColumn="0" w:lastRowLastColumn="0"/>
              <w:rPr>
                <w:rFonts w:ascii="Arial" w:hAnsi="Arial" w:cs="Arial"/>
                <w:b/>
                <w:color w:val="6DCFF6"/>
                <w:sz w:val="22"/>
                <w:szCs w:val="22"/>
              </w:rPr>
            </w:pPr>
            <w:r w:rsidRPr="00D10EC2">
              <w:rPr>
                <w:rFonts w:ascii="Arial" w:hAnsi="Arial" w:cs="Arial"/>
                <w:b/>
                <w:color w:val="002060"/>
                <w:sz w:val="22"/>
                <w:szCs w:val="22"/>
              </w:rPr>
              <w:t>Cocktail reception</w:t>
            </w:r>
            <w:r w:rsidR="00D10EC2">
              <w:rPr>
                <w:rFonts w:ascii="Arial" w:hAnsi="Arial" w:cs="Arial"/>
                <w:b/>
                <w:color w:val="002060"/>
                <w:sz w:val="22"/>
                <w:szCs w:val="22"/>
              </w:rPr>
              <w:t xml:space="preserve">                                                       </w:t>
            </w:r>
            <w:r w:rsidR="00A10E60">
              <w:rPr>
                <w:rFonts w:ascii="Arial" w:hAnsi="Arial" w:cs="Arial"/>
                <w:b/>
                <w:color w:val="002060"/>
                <w:sz w:val="22"/>
                <w:szCs w:val="22"/>
              </w:rPr>
              <w:t xml:space="preserve">                            </w:t>
            </w:r>
            <w:r w:rsidR="00A10E60" w:rsidRPr="001C3CBE">
              <w:rPr>
                <w:rFonts w:ascii="Arial" w:hAnsi="Arial" w:cs="Arial"/>
                <w:b/>
                <w:color w:val="002060"/>
                <w:sz w:val="22"/>
                <w:szCs w:val="22"/>
              </w:rPr>
              <w:t xml:space="preserve">  </w:t>
            </w:r>
            <w:r w:rsidR="00A10E60" w:rsidRPr="00AE2B37">
              <w:rPr>
                <w:rFonts w:ascii="Arial" w:hAnsi="Arial" w:cs="Arial"/>
                <w:b/>
                <w:color w:val="00B0F0"/>
                <w:sz w:val="22"/>
                <w:szCs w:val="22"/>
              </w:rPr>
              <w:t>Salon</w:t>
            </w:r>
            <w:r w:rsidR="00D10EC2" w:rsidRPr="00AE2B37">
              <w:rPr>
                <w:rFonts w:ascii="Arial" w:hAnsi="Arial" w:cs="Arial"/>
                <w:b/>
                <w:color w:val="00B0F0"/>
                <w:sz w:val="22"/>
                <w:szCs w:val="22"/>
              </w:rPr>
              <w:t xml:space="preserve"> </w:t>
            </w:r>
            <w:r w:rsidR="00333B54" w:rsidRPr="00AE2B37">
              <w:rPr>
                <w:rFonts w:ascii="Arial" w:hAnsi="Arial" w:cs="Arial"/>
                <w:b/>
                <w:color w:val="00B0F0"/>
                <w:sz w:val="22"/>
                <w:szCs w:val="22"/>
              </w:rPr>
              <w:t>Léman</w:t>
            </w:r>
          </w:p>
          <w:p w:rsidR="001C3CBE" w:rsidRPr="001C3CBE" w:rsidRDefault="001C3CBE" w:rsidP="001C3CBE">
            <w:pPr>
              <w:cnfStyle w:val="000000100000" w:firstRow="0" w:lastRow="0" w:firstColumn="0" w:lastColumn="0" w:oddVBand="0" w:evenVBand="0" w:oddHBand="1" w:evenHBand="0" w:firstRowFirstColumn="0" w:firstRowLastColumn="0" w:lastRowFirstColumn="0" w:lastRowLastColumn="0"/>
              <w:rPr>
                <w:rFonts w:ascii="Arial" w:hAnsi="Arial" w:cs="Arial"/>
                <w:b/>
                <w:color w:val="6DCFF6"/>
                <w:sz w:val="22"/>
                <w:szCs w:val="22"/>
              </w:rPr>
            </w:pPr>
          </w:p>
        </w:tc>
      </w:tr>
      <w:tr w:rsidR="00C625D6">
        <w:trPr>
          <w:trHeight w:val="354"/>
        </w:trPr>
        <w:tc>
          <w:tcPr>
            <w:cnfStyle w:val="001000000000" w:firstRow="0" w:lastRow="0" w:firstColumn="1" w:lastColumn="0" w:oddVBand="0" w:evenVBand="0" w:oddHBand="0" w:evenHBand="0" w:firstRowFirstColumn="0" w:firstRowLastColumn="0" w:lastRowFirstColumn="0" w:lastRowLastColumn="0"/>
            <w:tcW w:w="779" w:type="dxa"/>
          </w:tcPr>
          <w:p w:rsidR="00C625D6" w:rsidRPr="00AE2B37" w:rsidRDefault="00C625D6">
            <w:pPr>
              <w:rPr>
                <w:rFonts w:ascii="Arial" w:hAnsi="Arial" w:cs="Arial"/>
                <w:bCs w:val="0"/>
                <w:color w:val="00B0F0"/>
                <w:sz w:val="22"/>
                <w:szCs w:val="22"/>
              </w:rPr>
            </w:pPr>
            <w:r w:rsidRPr="00AE2B37">
              <w:rPr>
                <w:rFonts w:ascii="Arial" w:hAnsi="Arial" w:cs="Arial"/>
                <w:color w:val="00B0F0"/>
                <w:sz w:val="22"/>
                <w:szCs w:val="22"/>
              </w:rPr>
              <w:t>20:15</w:t>
            </w:r>
          </w:p>
        </w:tc>
        <w:tc>
          <w:tcPr>
            <w:tcW w:w="8693" w:type="dxa"/>
          </w:tcPr>
          <w:p w:rsidR="00C625D6" w:rsidRP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2"/>
                <w:szCs w:val="22"/>
              </w:rPr>
            </w:pPr>
            <w:r w:rsidRPr="00D10EC2">
              <w:rPr>
                <w:rFonts w:ascii="Arial" w:hAnsi="Arial" w:cs="Arial"/>
                <w:b/>
                <w:color w:val="002060"/>
                <w:sz w:val="22"/>
                <w:szCs w:val="22"/>
              </w:rPr>
              <w:t>Sit-down dinner</w:t>
            </w:r>
            <w:r w:rsidR="00A10E60">
              <w:rPr>
                <w:rFonts w:ascii="Arial" w:hAnsi="Arial" w:cs="Arial"/>
                <w:b/>
                <w:color w:val="002060"/>
                <w:sz w:val="22"/>
                <w:szCs w:val="22"/>
              </w:rPr>
              <w:t xml:space="preserve">                                                                                                  </w:t>
            </w:r>
            <w:r w:rsidR="00A10E60" w:rsidRPr="00AE2B37">
              <w:rPr>
                <w:rFonts w:ascii="Arial" w:hAnsi="Arial" w:cs="Arial"/>
                <w:b/>
                <w:color w:val="00B0F0"/>
                <w:sz w:val="22"/>
                <w:szCs w:val="22"/>
              </w:rPr>
              <w:t>Foyer A</w:t>
            </w:r>
          </w:p>
        </w:tc>
      </w:tr>
      <w:tr w:rsidR="00C625D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bottom w:val="nil"/>
            </w:tcBorders>
          </w:tcPr>
          <w:p w:rsidR="00C625D6" w:rsidRPr="00AE2B37" w:rsidRDefault="00C625D6">
            <w:pPr>
              <w:rPr>
                <w:rFonts w:ascii="Arial" w:hAnsi="Arial" w:cs="Arial"/>
                <w:bCs w:val="0"/>
                <w:color w:val="00B0F0"/>
                <w:sz w:val="22"/>
                <w:szCs w:val="22"/>
              </w:rPr>
            </w:pPr>
            <w:r w:rsidRPr="00AE2B37">
              <w:rPr>
                <w:rFonts w:ascii="Arial" w:hAnsi="Arial" w:cs="Arial"/>
                <w:color w:val="00B0F0"/>
                <w:sz w:val="22"/>
                <w:szCs w:val="22"/>
              </w:rPr>
              <w:t xml:space="preserve">20:30 </w:t>
            </w:r>
          </w:p>
        </w:tc>
        <w:tc>
          <w:tcPr>
            <w:tcW w:w="8693" w:type="dxa"/>
            <w:tcBorders>
              <w:bottom w:val="nil"/>
              <w:right w:val="none" w:sz="0" w:space="0" w:color="auto"/>
            </w:tcBorders>
          </w:tcPr>
          <w:p w:rsidR="00C625D6" w:rsidRPr="00D10EC2"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2"/>
                <w:szCs w:val="22"/>
              </w:rPr>
            </w:pPr>
            <w:r w:rsidRPr="00D10EC2">
              <w:rPr>
                <w:rFonts w:ascii="Arial" w:hAnsi="Arial" w:cs="Arial"/>
                <w:b/>
                <w:color w:val="002060"/>
                <w:sz w:val="22"/>
                <w:szCs w:val="22"/>
              </w:rPr>
              <w:t>Opening remarks</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Gary Hufbauer, Reginald Jones Senior Fellow, Peterson Institute for International Economics </w:t>
            </w:r>
          </w:p>
          <w:p w:rsidR="00C625D6" w:rsidRDefault="000E4A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r w:rsidR="00C625D6">
              <w:rPr>
                <w:rFonts w:ascii="Arial" w:hAnsi="Arial" w:cs="Arial"/>
                <w:sz w:val="22"/>
                <w:szCs w:val="22"/>
              </w:rPr>
              <w:t>The way forward in the WTO: coupling trade and WTO reform</w:t>
            </w:r>
            <w:r>
              <w:rPr>
                <w:rFonts w:ascii="Arial" w:hAnsi="Arial" w:cs="Arial"/>
                <w:sz w:val="22"/>
                <w:szCs w:val="22"/>
              </w:rPr>
              <w:t>”</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i/>
                <w:sz w:val="22"/>
                <w:szCs w:val="22"/>
              </w:rPr>
              <w:t xml:space="preserve">James Bacchus, Chairman Global Trade </w:t>
            </w:r>
            <w:r w:rsidR="00333B54">
              <w:rPr>
                <w:rFonts w:ascii="Arial" w:hAnsi="Arial" w:cs="Arial"/>
                <w:i/>
                <w:sz w:val="22"/>
                <w:szCs w:val="22"/>
              </w:rPr>
              <w:t>Practice, Greenberg Traurig and</w:t>
            </w:r>
            <w:r>
              <w:rPr>
                <w:rFonts w:ascii="Arial" w:hAnsi="Arial" w:cs="Arial"/>
                <w:i/>
                <w:sz w:val="22"/>
                <w:szCs w:val="22"/>
              </w:rPr>
              <w:t xml:space="preserve"> former Chairman of the WTO Appellate Body </w:t>
            </w:r>
          </w:p>
          <w:p w:rsidR="00C625D6" w:rsidRDefault="000E4A5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r w:rsidR="00C625D6">
              <w:rPr>
                <w:rFonts w:ascii="Arial" w:hAnsi="Arial" w:cs="Arial"/>
                <w:sz w:val="22"/>
                <w:szCs w:val="22"/>
              </w:rPr>
              <w:t>Setting a business-driven 21</w:t>
            </w:r>
            <w:r w:rsidR="00C625D6">
              <w:rPr>
                <w:rFonts w:ascii="Arial" w:hAnsi="Arial" w:cs="Arial"/>
                <w:sz w:val="22"/>
                <w:szCs w:val="22"/>
                <w:vertAlign w:val="superscript"/>
              </w:rPr>
              <w:t>st</w:t>
            </w:r>
            <w:r w:rsidR="00C625D6">
              <w:rPr>
                <w:rFonts w:ascii="Arial" w:hAnsi="Arial" w:cs="Arial"/>
                <w:sz w:val="22"/>
                <w:szCs w:val="22"/>
              </w:rPr>
              <w:t xml:space="preserve"> century trade policy agenda</w:t>
            </w:r>
            <w:r>
              <w:rPr>
                <w:rFonts w:ascii="Arial" w:hAnsi="Arial" w:cs="Arial"/>
                <w:sz w:val="22"/>
                <w:szCs w:val="22"/>
              </w:rPr>
              <w:t>”</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C625D6" w:rsidRPr="00C625D6">
        <w:trPr>
          <w:trHeight w:val="341"/>
        </w:trPr>
        <w:tc>
          <w:tcPr>
            <w:cnfStyle w:val="001000000000" w:firstRow="0" w:lastRow="0" w:firstColumn="1" w:lastColumn="0" w:oddVBand="0" w:evenVBand="0" w:oddHBand="0" w:evenHBand="0" w:firstRowFirstColumn="0" w:firstRowLastColumn="0" w:lastRowFirstColumn="0" w:lastRowLastColumn="0"/>
            <w:tcW w:w="9472" w:type="dxa"/>
            <w:gridSpan w:val="2"/>
            <w:tcBorders>
              <w:bottom w:val="single" w:sz="12" w:space="0" w:color="365F91" w:themeColor="accent1" w:themeShade="BF"/>
            </w:tcBorders>
            <w:vAlign w:val="bottom"/>
          </w:tcPr>
          <w:p w:rsidR="00C625D6" w:rsidRPr="00AE2B37" w:rsidRDefault="00C625D6" w:rsidP="00A33744">
            <w:pPr>
              <w:rPr>
                <w:rFonts w:ascii="Arial" w:hAnsi="Arial" w:cs="Arial"/>
                <w:b w:val="0"/>
                <w:bCs w:val="0"/>
                <w:smallCaps/>
                <w:color w:val="00B0F0"/>
              </w:rPr>
            </w:pPr>
            <w:r w:rsidRPr="00AE2B37">
              <w:rPr>
                <w:rFonts w:ascii="Arial" w:hAnsi="Arial" w:cs="Arial"/>
                <w:smallCaps/>
                <w:color w:val="00B0F0"/>
              </w:rPr>
              <w:t xml:space="preserve">14 March 2012               </w:t>
            </w:r>
            <w:r w:rsidR="00F02A02" w:rsidRPr="00AE2B37">
              <w:rPr>
                <w:rFonts w:ascii="Arial" w:hAnsi="Arial" w:cs="Arial"/>
                <w:smallCaps/>
                <w:color w:val="00B0F0"/>
              </w:rPr>
              <w:t xml:space="preserve">                   </w:t>
            </w:r>
            <w:r w:rsidRPr="00AE2B37">
              <w:rPr>
                <w:rFonts w:ascii="Arial" w:hAnsi="Arial" w:cs="Arial"/>
                <w:smallCaps/>
                <w:color w:val="00B0F0"/>
              </w:rPr>
              <w:t xml:space="preserve">       </w:t>
            </w:r>
            <w:r w:rsidRPr="00AE2B37">
              <w:rPr>
                <w:rFonts w:ascii="Arial" w:hAnsi="Arial" w:cs="Arial"/>
                <w:b w:val="0"/>
                <w:bCs w:val="0"/>
                <w:smallCaps/>
                <w:color w:val="00B0F0"/>
              </w:rPr>
              <w:t xml:space="preserve">                             </w:t>
            </w:r>
            <w:r w:rsidR="00F02A02" w:rsidRPr="00AE2B37">
              <w:rPr>
                <w:rFonts w:ascii="Arial" w:hAnsi="Arial" w:cs="Arial"/>
                <w:b w:val="0"/>
                <w:bCs w:val="0"/>
                <w:smallCaps/>
                <w:color w:val="00B0F0"/>
              </w:rPr>
              <w:t xml:space="preserve">                               </w:t>
            </w:r>
            <w:r w:rsidR="00D10EC2" w:rsidRPr="00AE2B37">
              <w:rPr>
                <w:rFonts w:ascii="Arial" w:hAnsi="Arial" w:cs="Arial"/>
                <w:smallCaps/>
                <w:color w:val="00B0F0"/>
              </w:rPr>
              <w:t xml:space="preserve">WTO </w:t>
            </w:r>
            <w:r w:rsidR="00A33744">
              <w:rPr>
                <w:rFonts w:ascii="Arial" w:hAnsi="Arial" w:cs="Arial"/>
                <w:smallCaps/>
                <w:color w:val="00B0F0"/>
              </w:rPr>
              <w:t>Headquarters</w:t>
            </w:r>
            <w:r w:rsidR="00D10EC2" w:rsidRPr="00AE2B37">
              <w:rPr>
                <w:rFonts w:ascii="Arial" w:hAnsi="Arial" w:cs="Arial"/>
                <w:smallCaps/>
                <w:color w:val="00B0F0"/>
              </w:rPr>
              <w:t xml:space="preserve"> </w:t>
            </w:r>
          </w:p>
        </w:tc>
      </w:tr>
      <w:tr w:rsidR="00C625D6">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9" w:type="dxa"/>
            <w:tcBorders>
              <w:top w:val="single" w:sz="12" w:space="0" w:color="365F91" w:themeColor="accent1" w:themeShade="BF"/>
              <w:left w:val="none" w:sz="0" w:space="0" w:color="auto"/>
              <w:bottom w:val="none" w:sz="0" w:space="0" w:color="auto"/>
            </w:tcBorders>
          </w:tcPr>
          <w:p w:rsidR="00C625D6" w:rsidRPr="00AE2B37" w:rsidRDefault="00C625D6" w:rsidP="001C3CBE">
            <w:pPr>
              <w:spacing w:before="240"/>
              <w:rPr>
                <w:rFonts w:ascii="Arial" w:hAnsi="Arial" w:cs="Arial"/>
                <w:bCs w:val="0"/>
                <w:color w:val="00B0F0"/>
                <w:sz w:val="22"/>
                <w:szCs w:val="22"/>
              </w:rPr>
            </w:pPr>
            <w:r w:rsidRPr="00AE2B37">
              <w:rPr>
                <w:rFonts w:ascii="Arial" w:hAnsi="Arial" w:cs="Arial"/>
                <w:color w:val="00B0F0"/>
                <w:sz w:val="22"/>
                <w:szCs w:val="22"/>
              </w:rPr>
              <w:t>0</w:t>
            </w:r>
            <w:r w:rsidR="00BB1751" w:rsidRPr="00AE2B37">
              <w:rPr>
                <w:rFonts w:ascii="Arial" w:hAnsi="Arial" w:cs="Arial"/>
                <w:color w:val="00B0F0"/>
                <w:sz w:val="22"/>
                <w:szCs w:val="22"/>
              </w:rPr>
              <w:t>9</w:t>
            </w:r>
            <w:r w:rsidRPr="00AE2B37">
              <w:rPr>
                <w:rFonts w:ascii="Arial" w:hAnsi="Arial" w:cs="Arial"/>
                <w:color w:val="00B0F0"/>
                <w:sz w:val="22"/>
                <w:szCs w:val="22"/>
              </w:rPr>
              <w:t>:00</w:t>
            </w:r>
          </w:p>
        </w:tc>
        <w:tc>
          <w:tcPr>
            <w:tcW w:w="8693" w:type="dxa"/>
            <w:tcBorders>
              <w:top w:val="single" w:sz="12" w:space="0" w:color="365F91" w:themeColor="accent1" w:themeShade="BF"/>
              <w:bottom w:val="none" w:sz="0" w:space="0" w:color="auto"/>
              <w:right w:val="none" w:sz="0" w:space="0" w:color="auto"/>
            </w:tcBorders>
          </w:tcPr>
          <w:p w:rsidR="00D10EC2" w:rsidRPr="00AE2B37" w:rsidRDefault="00C625D6" w:rsidP="001C3CBE">
            <w:pPr>
              <w:spacing w:before="240"/>
              <w:cnfStyle w:val="000000100000" w:firstRow="0" w:lastRow="0" w:firstColumn="0" w:lastColumn="0" w:oddVBand="0" w:evenVBand="0" w:oddHBand="1" w:evenHBand="0" w:firstRowFirstColumn="0" w:firstRowLastColumn="0" w:lastRowFirstColumn="0" w:lastRowLastColumn="0"/>
              <w:rPr>
                <w:rFonts w:ascii="Arial" w:hAnsi="Arial" w:cs="Arial"/>
                <w:b/>
                <w:bCs/>
                <w:color w:val="00B0F0"/>
                <w:sz w:val="22"/>
                <w:szCs w:val="22"/>
              </w:rPr>
            </w:pPr>
            <w:r w:rsidRPr="00D10EC2">
              <w:rPr>
                <w:rFonts w:ascii="Arial" w:hAnsi="Arial" w:cs="Arial"/>
                <w:b/>
                <w:color w:val="002060"/>
                <w:sz w:val="22"/>
                <w:szCs w:val="22"/>
              </w:rPr>
              <w:t xml:space="preserve">Breakfast buffet </w:t>
            </w:r>
            <w:r w:rsidR="00D10EC2" w:rsidRPr="00D10EC2">
              <w:rPr>
                <w:rFonts w:ascii="Arial" w:hAnsi="Arial" w:cs="Arial"/>
                <w:b/>
                <w:color w:val="002060"/>
                <w:sz w:val="22"/>
                <w:szCs w:val="22"/>
              </w:rPr>
              <w:t xml:space="preserve">                               </w:t>
            </w:r>
            <w:r w:rsidR="00D10EC2">
              <w:rPr>
                <w:rFonts w:ascii="Arial" w:hAnsi="Arial" w:cs="Arial"/>
                <w:b/>
                <w:color w:val="002060"/>
                <w:sz w:val="22"/>
                <w:szCs w:val="22"/>
              </w:rPr>
              <w:t xml:space="preserve">                                      </w:t>
            </w:r>
            <w:r w:rsidR="00D10EC2" w:rsidRPr="00AE2B37">
              <w:rPr>
                <w:rFonts w:ascii="Arial" w:hAnsi="Arial" w:cs="Arial"/>
                <w:b/>
                <w:color w:val="00B0F0"/>
                <w:sz w:val="22"/>
                <w:szCs w:val="22"/>
              </w:rPr>
              <w:t>Centre</w:t>
            </w:r>
            <w:r w:rsidR="00D10EC2" w:rsidRPr="00AE2B37">
              <w:rPr>
                <w:rFonts w:ascii="Arial" w:hAnsi="Arial" w:cs="Arial"/>
                <w:bCs/>
                <w:color w:val="00B0F0"/>
                <w:sz w:val="22"/>
                <w:szCs w:val="22"/>
              </w:rPr>
              <w:t xml:space="preserve"> </w:t>
            </w:r>
            <w:r w:rsidR="00333B54" w:rsidRPr="00AE2B37">
              <w:rPr>
                <w:rFonts w:ascii="Arial" w:hAnsi="Arial" w:cs="Arial"/>
                <w:b/>
                <w:bCs/>
                <w:color w:val="00B0F0"/>
                <w:sz w:val="22"/>
                <w:szCs w:val="22"/>
              </w:rPr>
              <w:t>William Rappard</w:t>
            </w:r>
          </w:p>
          <w:p w:rsidR="00C625D6" w:rsidRPr="00D10EC2" w:rsidRDefault="00D10EC2" w:rsidP="001C3CBE">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2"/>
                <w:szCs w:val="22"/>
              </w:rPr>
            </w:pPr>
            <w:r w:rsidRPr="00AE2B37">
              <w:rPr>
                <w:rFonts w:ascii="Arial" w:hAnsi="Arial" w:cs="Arial"/>
                <w:b/>
                <w:bCs/>
                <w:color w:val="00B0F0"/>
                <w:sz w:val="22"/>
                <w:szCs w:val="22"/>
              </w:rPr>
              <w:t xml:space="preserve">                                                                                                                            Room D</w:t>
            </w:r>
          </w:p>
        </w:tc>
      </w:tr>
      <w:tr w:rsidR="00C625D6">
        <w:tc>
          <w:tcPr>
            <w:cnfStyle w:val="001000000000" w:firstRow="0" w:lastRow="0" w:firstColumn="1" w:lastColumn="0" w:oddVBand="0" w:evenVBand="0" w:oddHBand="0" w:evenHBand="0" w:firstRowFirstColumn="0" w:firstRowLastColumn="0" w:lastRowFirstColumn="0" w:lastRowLastColumn="0"/>
            <w:tcW w:w="779" w:type="dxa"/>
          </w:tcPr>
          <w:p w:rsidR="00C625D6" w:rsidRPr="00AE2B37" w:rsidRDefault="00BB1751">
            <w:pPr>
              <w:rPr>
                <w:rFonts w:ascii="Arial" w:hAnsi="Arial" w:cs="Arial"/>
                <w:bCs w:val="0"/>
                <w:color w:val="00B0F0"/>
                <w:sz w:val="22"/>
                <w:szCs w:val="22"/>
              </w:rPr>
            </w:pPr>
            <w:r w:rsidRPr="00AE2B37">
              <w:rPr>
                <w:rFonts w:ascii="Arial" w:hAnsi="Arial" w:cs="Arial"/>
                <w:color w:val="00B0F0"/>
                <w:sz w:val="22"/>
                <w:szCs w:val="22"/>
              </w:rPr>
              <w:t>10</w:t>
            </w:r>
            <w:r w:rsidR="00C625D6" w:rsidRPr="00AE2B37">
              <w:rPr>
                <w:rFonts w:ascii="Arial" w:hAnsi="Arial" w:cs="Arial"/>
                <w:color w:val="00B0F0"/>
                <w:sz w:val="22"/>
                <w:szCs w:val="22"/>
              </w:rPr>
              <w:t>:00</w:t>
            </w:r>
          </w:p>
          <w:p w:rsidR="00C625D6" w:rsidRPr="00AE2B37" w:rsidRDefault="00C625D6">
            <w:pPr>
              <w:rPr>
                <w:rFonts w:ascii="Arial" w:hAnsi="Arial" w:cs="Arial"/>
                <w:bCs w:val="0"/>
                <w:color w:val="00B0F0"/>
                <w:sz w:val="22"/>
                <w:szCs w:val="22"/>
              </w:rPr>
            </w:pPr>
          </w:p>
        </w:tc>
        <w:tc>
          <w:tcPr>
            <w:tcW w:w="8693" w:type="dxa"/>
          </w:tcPr>
          <w:p w:rsid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2"/>
                <w:szCs w:val="22"/>
              </w:rPr>
            </w:pPr>
            <w:r w:rsidRPr="00D10EC2">
              <w:rPr>
                <w:rFonts w:ascii="Arial" w:hAnsi="Arial" w:cs="Arial"/>
                <w:b/>
                <w:color w:val="002060"/>
                <w:sz w:val="22"/>
                <w:szCs w:val="22"/>
              </w:rPr>
              <w:t>Welcome and introduction</w:t>
            </w:r>
          </w:p>
          <w:p w:rsidR="00A10E60" w:rsidRDefault="00A10E60">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A10E60">
              <w:rPr>
                <w:rFonts w:ascii="Arial" w:hAnsi="Arial" w:cs="Arial"/>
                <w:i/>
                <w:sz w:val="22"/>
                <w:szCs w:val="22"/>
              </w:rPr>
              <w:t>P</w:t>
            </w:r>
            <w:r w:rsidR="00A33744">
              <w:rPr>
                <w:rFonts w:ascii="Arial" w:hAnsi="Arial" w:cs="Arial"/>
                <w:i/>
                <w:sz w:val="22"/>
                <w:szCs w:val="22"/>
              </w:rPr>
              <w:t>ascal Lamy, Director-</w:t>
            </w:r>
            <w:r w:rsidRPr="00A10E60">
              <w:rPr>
                <w:rFonts w:ascii="Arial" w:hAnsi="Arial" w:cs="Arial"/>
                <w:i/>
                <w:sz w:val="22"/>
                <w:szCs w:val="22"/>
              </w:rPr>
              <w:t>General, WTO</w:t>
            </w:r>
          </w:p>
          <w:p w:rsidR="00C625D6" w:rsidRDefault="00C625D6" w:rsidP="00A10E6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62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bottom w:val="none" w:sz="0" w:space="0" w:color="auto"/>
            </w:tcBorders>
          </w:tcPr>
          <w:p w:rsidR="00C625D6" w:rsidRPr="00AE2B37" w:rsidRDefault="00BB1751" w:rsidP="00BB1751">
            <w:pPr>
              <w:rPr>
                <w:rFonts w:ascii="Arial" w:hAnsi="Arial" w:cs="Arial"/>
                <w:bCs w:val="0"/>
                <w:color w:val="00B0F0"/>
                <w:sz w:val="22"/>
                <w:szCs w:val="22"/>
              </w:rPr>
            </w:pPr>
            <w:r w:rsidRPr="00AE2B37">
              <w:rPr>
                <w:rFonts w:ascii="Arial" w:hAnsi="Arial" w:cs="Arial"/>
                <w:color w:val="00B0F0"/>
                <w:sz w:val="22"/>
                <w:szCs w:val="22"/>
              </w:rPr>
              <w:t>10</w:t>
            </w:r>
            <w:r w:rsidR="00C625D6" w:rsidRPr="00AE2B37">
              <w:rPr>
                <w:rFonts w:ascii="Arial" w:hAnsi="Arial" w:cs="Arial"/>
                <w:color w:val="00B0F0"/>
                <w:sz w:val="22"/>
                <w:szCs w:val="22"/>
              </w:rPr>
              <w:t>:</w:t>
            </w:r>
            <w:r w:rsidRPr="00AE2B37">
              <w:rPr>
                <w:rFonts w:ascii="Arial" w:hAnsi="Arial" w:cs="Arial"/>
                <w:color w:val="00B0F0"/>
                <w:sz w:val="22"/>
                <w:szCs w:val="22"/>
              </w:rPr>
              <w:t>30</w:t>
            </w:r>
          </w:p>
        </w:tc>
        <w:tc>
          <w:tcPr>
            <w:tcW w:w="8693" w:type="dxa"/>
            <w:tcBorders>
              <w:bottom w:val="none" w:sz="0" w:space="0" w:color="auto"/>
              <w:right w:val="none" w:sz="0" w:space="0" w:color="auto"/>
            </w:tcBorders>
          </w:tcPr>
          <w:p w:rsidR="00C625D6" w:rsidRDefault="00333B54">
            <w:pPr>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2"/>
                <w:szCs w:val="22"/>
              </w:rPr>
            </w:pPr>
            <w:r>
              <w:rPr>
                <w:rFonts w:ascii="Arial" w:hAnsi="Arial" w:cs="Arial"/>
                <w:b/>
                <w:color w:val="002060"/>
                <w:sz w:val="22"/>
                <w:szCs w:val="22"/>
              </w:rPr>
              <w:t xml:space="preserve">Opening </w:t>
            </w:r>
            <w:r w:rsidR="00C625D6" w:rsidRPr="00D10EC2">
              <w:rPr>
                <w:rFonts w:ascii="Arial" w:hAnsi="Arial" w:cs="Arial"/>
                <w:b/>
                <w:color w:val="002060"/>
                <w:sz w:val="22"/>
                <w:szCs w:val="22"/>
              </w:rPr>
              <w:t>address</w:t>
            </w:r>
          </w:p>
          <w:p w:rsidR="00A10E60" w:rsidRDefault="00333B54" w:rsidP="00A10E6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Victor K. Fung, Honorary Chairman,</w:t>
            </w:r>
            <w:r w:rsidR="00A10E60">
              <w:rPr>
                <w:rFonts w:ascii="Arial" w:hAnsi="Arial" w:cs="Arial"/>
                <w:i/>
                <w:sz w:val="22"/>
                <w:szCs w:val="22"/>
              </w:rPr>
              <w:t xml:space="preserve"> ICC </w:t>
            </w:r>
          </w:p>
          <w:p w:rsidR="00A10E60" w:rsidRDefault="000E4A50" w:rsidP="00A10E6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r w:rsidR="00A10E60">
              <w:rPr>
                <w:rFonts w:ascii="Arial" w:hAnsi="Arial" w:cs="Arial"/>
                <w:sz w:val="22"/>
                <w:szCs w:val="22"/>
              </w:rPr>
              <w:t>WTA: Platform for global business engagement on future trade policy agenda</w:t>
            </w:r>
            <w:r>
              <w:rPr>
                <w:rFonts w:ascii="Arial" w:hAnsi="Arial" w:cs="Arial"/>
                <w:sz w:val="22"/>
                <w:szCs w:val="22"/>
              </w:rPr>
              <w:t xml:space="preserve"> setting”</w:t>
            </w:r>
            <w:r w:rsidR="00A10E60">
              <w:rPr>
                <w:rFonts w:ascii="Arial" w:hAnsi="Arial" w:cs="Arial"/>
                <w:sz w:val="22"/>
                <w:szCs w:val="22"/>
              </w:rPr>
              <w:t xml:space="preserve"> </w:t>
            </w:r>
          </w:p>
          <w:p w:rsidR="00C625D6" w:rsidRDefault="00C625D6" w:rsidP="00A10E60">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
        </w:tc>
      </w:tr>
      <w:tr w:rsidR="00C625D6">
        <w:tc>
          <w:tcPr>
            <w:cnfStyle w:val="001000000000" w:firstRow="0" w:lastRow="0" w:firstColumn="1" w:lastColumn="0" w:oddVBand="0" w:evenVBand="0" w:oddHBand="0" w:evenHBand="0" w:firstRowFirstColumn="0" w:firstRowLastColumn="0" w:lastRowFirstColumn="0" w:lastRowLastColumn="0"/>
            <w:tcW w:w="779" w:type="dxa"/>
            <w:tcBorders>
              <w:bottom w:val="nil"/>
            </w:tcBorders>
          </w:tcPr>
          <w:p w:rsidR="00C625D6" w:rsidRPr="00AE2B37" w:rsidRDefault="00A10E60">
            <w:pPr>
              <w:rPr>
                <w:rFonts w:ascii="Arial" w:hAnsi="Arial" w:cs="Arial"/>
                <w:bCs w:val="0"/>
                <w:color w:val="00B0F0"/>
                <w:sz w:val="22"/>
                <w:szCs w:val="22"/>
              </w:rPr>
            </w:pPr>
            <w:r w:rsidRPr="00AE2B37">
              <w:rPr>
                <w:rFonts w:ascii="Arial" w:hAnsi="Arial" w:cs="Arial"/>
                <w:color w:val="00B0F0"/>
                <w:sz w:val="22"/>
                <w:szCs w:val="22"/>
              </w:rPr>
              <w:t>10:</w:t>
            </w:r>
            <w:r w:rsidR="00BB1751" w:rsidRPr="00AE2B37">
              <w:rPr>
                <w:rFonts w:ascii="Arial" w:hAnsi="Arial" w:cs="Arial"/>
                <w:color w:val="00B0F0"/>
                <w:sz w:val="22"/>
                <w:szCs w:val="22"/>
              </w:rPr>
              <w:t>45</w:t>
            </w:r>
          </w:p>
          <w:p w:rsidR="00C625D6" w:rsidRPr="00AE2B37" w:rsidRDefault="00C625D6">
            <w:pPr>
              <w:rPr>
                <w:rFonts w:ascii="Arial" w:hAnsi="Arial" w:cs="Arial"/>
                <w:bCs w:val="0"/>
                <w:color w:val="00B0F0"/>
                <w:sz w:val="22"/>
                <w:szCs w:val="22"/>
              </w:rPr>
            </w:pPr>
          </w:p>
        </w:tc>
        <w:tc>
          <w:tcPr>
            <w:tcW w:w="8693" w:type="dxa"/>
            <w:tcBorders>
              <w:bottom w:val="nil"/>
            </w:tcBorders>
          </w:tcPr>
          <w:p w:rsidR="00C625D6" w:rsidRPr="00D10EC2"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i/>
                <w:color w:val="17365D" w:themeColor="text2" w:themeShade="BF"/>
                <w:sz w:val="22"/>
                <w:szCs w:val="22"/>
              </w:rPr>
            </w:pPr>
            <w:r w:rsidRPr="00D10EC2">
              <w:rPr>
                <w:rFonts w:ascii="Arial" w:hAnsi="Arial" w:cs="Arial"/>
                <w:b/>
                <w:i/>
                <w:color w:val="002060"/>
                <w:sz w:val="22"/>
                <w:szCs w:val="22"/>
              </w:rPr>
              <w:t>Simplify, streamline, cut costs. Creating better procedures for doing business in foreign markets</w:t>
            </w:r>
            <w:r w:rsidRPr="00D10EC2">
              <w:rPr>
                <w:rFonts w:ascii="Arial" w:hAnsi="Arial" w:cs="Arial"/>
                <w:b/>
                <w:i/>
                <w:color w:val="17365D" w:themeColor="text2" w:themeShade="BF"/>
                <w:sz w:val="22"/>
                <w:szCs w:val="22"/>
              </w:rPr>
              <w:t xml:space="preserve">. </w:t>
            </w:r>
          </w:p>
          <w:p w:rsidR="00C625D6" w:rsidRDefault="00A10E6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w:t>
            </w:r>
            <w:r w:rsidR="00C625D6">
              <w:rPr>
                <w:rFonts w:ascii="Arial" w:hAnsi="Arial" w:cs="Arial"/>
                <w:sz w:val="22"/>
                <w:szCs w:val="22"/>
              </w:rPr>
              <w:t>n an age where global value chains have changed the nature of production and supply, streamlining customs and logistical procedures is essential for maintaining a competitive position in the marketplace. How can improved WTO rules on trade facilitation and trade in services enhance trading opportunities?</w:t>
            </w:r>
          </w:p>
          <w:p w:rsid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625D6">
        <w:trPr>
          <w:cnfStyle w:val="000000100000" w:firstRow="0" w:lastRow="0" w:firstColumn="0" w:lastColumn="0" w:oddVBand="0" w:evenVBand="0" w:oddHBand="1" w:evenHBand="0" w:firstRowFirstColumn="0" w:firstRowLastColumn="0" w:lastRowFirstColumn="0" w:lastRowLastColumn="0"/>
          <w:trHeight w:val="2697"/>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bottom w:val="nil"/>
            </w:tcBorders>
          </w:tcPr>
          <w:p w:rsidR="00C625D6" w:rsidRPr="00AE2B37" w:rsidRDefault="00BB1751" w:rsidP="00333B54">
            <w:pPr>
              <w:rPr>
                <w:rFonts w:ascii="Arial" w:hAnsi="Arial" w:cs="Arial"/>
                <w:bCs w:val="0"/>
                <w:color w:val="00B0F0"/>
                <w:sz w:val="22"/>
                <w:szCs w:val="22"/>
              </w:rPr>
            </w:pPr>
            <w:r w:rsidRPr="00AE2B37">
              <w:rPr>
                <w:rFonts w:ascii="Arial" w:hAnsi="Arial" w:cs="Arial"/>
                <w:color w:val="00B0F0"/>
                <w:sz w:val="22"/>
                <w:szCs w:val="22"/>
              </w:rPr>
              <w:t>1</w:t>
            </w:r>
            <w:r w:rsidR="00333B54" w:rsidRPr="00AE2B37">
              <w:rPr>
                <w:rFonts w:ascii="Arial" w:hAnsi="Arial" w:cs="Arial"/>
                <w:color w:val="00B0F0"/>
                <w:sz w:val="22"/>
                <w:szCs w:val="22"/>
              </w:rPr>
              <w:t>1</w:t>
            </w:r>
            <w:r w:rsidR="00C625D6" w:rsidRPr="00AE2B37">
              <w:rPr>
                <w:rFonts w:ascii="Arial" w:hAnsi="Arial" w:cs="Arial"/>
                <w:color w:val="00B0F0"/>
                <w:sz w:val="22"/>
                <w:szCs w:val="22"/>
              </w:rPr>
              <w:t>:</w:t>
            </w:r>
            <w:r w:rsidR="00333B54" w:rsidRPr="00AE2B37">
              <w:rPr>
                <w:rFonts w:ascii="Arial" w:hAnsi="Arial" w:cs="Arial"/>
                <w:color w:val="00B0F0"/>
                <w:sz w:val="22"/>
                <w:szCs w:val="22"/>
              </w:rPr>
              <w:t>45</w:t>
            </w:r>
          </w:p>
        </w:tc>
        <w:tc>
          <w:tcPr>
            <w:tcW w:w="8693" w:type="dxa"/>
            <w:tcBorders>
              <w:bottom w:val="nil"/>
              <w:right w:val="none" w:sz="0" w:space="0" w:color="auto"/>
            </w:tcBorders>
          </w:tcPr>
          <w:p w:rsidR="00C625D6" w:rsidRPr="00D10EC2"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i/>
                <w:color w:val="002060"/>
                <w:sz w:val="22"/>
                <w:szCs w:val="22"/>
              </w:rPr>
            </w:pPr>
            <w:r w:rsidRPr="00D10EC2">
              <w:rPr>
                <w:rFonts w:ascii="Arial" w:hAnsi="Arial" w:cs="Arial"/>
                <w:b/>
                <w:i/>
                <w:color w:val="002060"/>
                <w:sz w:val="22"/>
                <w:szCs w:val="22"/>
              </w:rPr>
              <w:t>Fostering synergies between multilateral rules and plurilateral or other  preferential trade agreements (PTAs)</w:t>
            </w:r>
          </w:p>
          <w:p w:rsidR="00245C1C" w:rsidRPr="00F02A02" w:rsidRDefault="00C625D6" w:rsidP="00245C1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Doha Round has already made concrete progress in implementing a Transparency Mechanism for preferential trade agreements including notification, analysis and an electronic database of PTAs.  Moreover, many governments are looking to plurilateral negotiations -- inside the WTO and outside -- for trade opening opportunities. WTO Members' success in striking the new Government Procurement Agreement has raised hopes among some that the plurilateral approach is an avenue worth pursuing particularly in services.  Are plurilateral or regional agreements compatible with a multilateral trading system or do they create separate regulatory regimes and additional costs and confusion for businesses?</w:t>
            </w:r>
          </w:p>
        </w:tc>
      </w:tr>
      <w:tr w:rsidR="00C625D6">
        <w:tc>
          <w:tcPr>
            <w:cnfStyle w:val="001000000000" w:firstRow="0" w:lastRow="0" w:firstColumn="1" w:lastColumn="0" w:oddVBand="0" w:evenVBand="0" w:oddHBand="0" w:evenHBand="0" w:firstRowFirstColumn="0" w:firstRowLastColumn="0" w:lastRowFirstColumn="0" w:lastRowLastColumn="0"/>
            <w:tcW w:w="779" w:type="dxa"/>
            <w:tcBorders>
              <w:top w:val="nil"/>
            </w:tcBorders>
          </w:tcPr>
          <w:p w:rsidR="00C625D6" w:rsidRPr="00AE2B37" w:rsidRDefault="00C625D6" w:rsidP="00333B54">
            <w:pPr>
              <w:rPr>
                <w:rFonts w:ascii="Arial" w:hAnsi="Arial" w:cs="Arial"/>
                <w:bCs w:val="0"/>
                <w:color w:val="00B0F0"/>
                <w:sz w:val="22"/>
                <w:szCs w:val="22"/>
              </w:rPr>
            </w:pPr>
            <w:r w:rsidRPr="00AE2B37">
              <w:rPr>
                <w:rFonts w:ascii="Arial" w:hAnsi="Arial" w:cs="Arial"/>
                <w:color w:val="00B0F0"/>
                <w:sz w:val="22"/>
                <w:szCs w:val="22"/>
              </w:rPr>
              <w:t>1</w:t>
            </w:r>
            <w:r w:rsidR="00333B54" w:rsidRPr="00AE2B37">
              <w:rPr>
                <w:rFonts w:ascii="Arial" w:hAnsi="Arial" w:cs="Arial"/>
                <w:color w:val="00B0F0"/>
                <w:sz w:val="22"/>
                <w:szCs w:val="22"/>
              </w:rPr>
              <w:t>2</w:t>
            </w:r>
            <w:r w:rsidRPr="00AE2B37">
              <w:rPr>
                <w:rFonts w:ascii="Arial" w:hAnsi="Arial" w:cs="Arial"/>
                <w:color w:val="00B0F0"/>
                <w:sz w:val="22"/>
                <w:szCs w:val="22"/>
              </w:rPr>
              <w:t>:</w:t>
            </w:r>
            <w:r w:rsidR="00333B54" w:rsidRPr="00AE2B37">
              <w:rPr>
                <w:rFonts w:ascii="Arial" w:hAnsi="Arial" w:cs="Arial"/>
                <w:color w:val="00B0F0"/>
                <w:sz w:val="22"/>
                <w:szCs w:val="22"/>
              </w:rPr>
              <w:t>4</w:t>
            </w:r>
            <w:r w:rsidR="00BB1751" w:rsidRPr="00AE2B37">
              <w:rPr>
                <w:rFonts w:ascii="Arial" w:hAnsi="Arial" w:cs="Arial"/>
                <w:color w:val="00B0F0"/>
                <w:sz w:val="22"/>
                <w:szCs w:val="22"/>
              </w:rPr>
              <w:t>5</w:t>
            </w:r>
          </w:p>
        </w:tc>
        <w:tc>
          <w:tcPr>
            <w:tcW w:w="8693" w:type="dxa"/>
            <w:tcBorders>
              <w:top w:val="nil"/>
            </w:tcBorders>
          </w:tcPr>
          <w:p w:rsidR="00C625D6" w:rsidRPr="00D10EC2"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2"/>
                <w:szCs w:val="22"/>
              </w:rPr>
            </w:pPr>
            <w:r w:rsidRPr="00D10EC2">
              <w:rPr>
                <w:rFonts w:ascii="Arial" w:hAnsi="Arial" w:cs="Arial"/>
                <w:b/>
                <w:color w:val="002060"/>
                <w:sz w:val="22"/>
                <w:szCs w:val="22"/>
              </w:rPr>
              <w:t xml:space="preserve">Working lunch </w:t>
            </w:r>
          </w:p>
          <w:p w:rsidR="00C625D6" w:rsidRP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2"/>
                <w:szCs w:val="22"/>
              </w:rPr>
            </w:pPr>
          </w:p>
        </w:tc>
      </w:tr>
      <w:tr w:rsidR="00C62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bottom w:val="none" w:sz="0" w:space="0" w:color="auto"/>
            </w:tcBorders>
          </w:tcPr>
          <w:p w:rsidR="00C625D6" w:rsidRPr="00AE2B37" w:rsidRDefault="00C625D6" w:rsidP="00333B54">
            <w:pPr>
              <w:rPr>
                <w:rFonts w:ascii="Arial" w:hAnsi="Arial" w:cs="Arial"/>
                <w:bCs w:val="0"/>
                <w:color w:val="00B0F0"/>
                <w:sz w:val="22"/>
                <w:szCs w:val="22"/>
              </w:rPr>
            </w:pPr>
            <w:r w:rsidRPr="00AE2B37">
              <w:rPr>
                <w:rFonts w:ascii="Arial" w:hAnsi="Arial" w:cs="Arial"/>
                <w:color w:val="00B0F0"/>
                <w:sz w:val="22"/>
                <w:szCs w:val="22"/>
              </w:rPr>
              <w:lastRenderedPageBreak/>
              <w:t>1</w:t>
            </w:r>
            <w:r w:rsidR="00333B54" w:rsidRPr="00AE2B37">
              <w:rPr>
                <w:rFonts w:ascii="Arial" w:hAnsi="Arial" w:cs="Arial"/>
                <w:color w:val="00B0F0"/>
                <w:sz w:val="22"/>
                <w:szCs w:val="22"/>
              </w:rPr>
              <w:t>3</w:t>
            </w:r>
            <w:r w:rsidRPr="00AE2B37">
              <w:rPr>
                <w:rFonts w:ascii="Arial" w:hAnsi="Arial" w:cs="Arial"/>
                <w:color w:val="00B0F0"/>
                <w:sz w:val="22"/>
                <w:szCs w:val="22"/>
              </w:rPr>
              <w:t>:</w:t>
            </w:r>
            <w:r w:rsidR="00333B54" w:rsidRPr="00AE2B37">
              <w:rPr>
                <w:rFonts w:ascii="Arial" w:hAnsi="Arial" w:cs="Arial"/>
                <w:color w:val="00B0F0"/>
                <w:sz w:val="22"/>
                <w:szCs w:val="22"/>
              </w:rPr>
              <w:t>45</w:t>
            </w:r>
          </w:p>
        </w:tc>
        <w:tc>
          <w:tcPr>
            <w:tcW w:w="8693" w:type="dxa"/>
            <w:tcBorders>
              <w:bottom w:val="none" w:sz="0" w:space="0" w:color="auto"/>
              <w:right w:val="none" w:sz="0" w:space="0" w:color="auto"/>
            </w:tcBorders>
          </w:tcPr>
          <w:p w:rsidR="00C625D6" w:rsidRPr="00D10EC2"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i/>
                <w:color w:val="002060"/>
                <w:sz w:val="22"/>
                <w:szCs w:val="22"/>
              </w:rPr>
            </w:pPr>
            <w:r w:rsidRPr="00D10EC2">
              <w:rPr>
                <w:rFonts w:ascii="Arial" w:hAnsi="Arial" w:cs="Arial"/>
                <w:b/>
                <w:i/>
                <w:color w:val="002060"/>
                <w:sz w:val="22"/>
                <w:szCs w:val="22"/>
              </w:rPr>
              <w:t>The changing nature of obstacles to trade. With tariffs coming down sharply in many parts of the world due to global value chains, other forms of trade barriers are rising quickly. What are these barriers and what is the best way to address them?</w:t>
            </w:r>
            <w:r w:rsidRPr="00D10EC2">
              <w:rPr>
                <w:rFonts w:ascii="Arial" w:hAnsi="Arial" w:cs="Arial"/>
                <w:i/>
                <w:color w:val="002060"/>
                <w:sz w:val="22"/>
                <w:szCs w:val="22"/>
              </w:rPr>
              <w:t xml:space="preserve">  </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Regulations, standards, government procurement procedures and the use of currencies as a tool for competitiveness have all been identified as non-tariff barriers that are slowing the pace of trade today. The session should look at how the WTO can help to address these barriers through greater transparency, dispute settlement or new negotiations.</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C625D6">
        <w:trPr>
          <w:trHeight w:val="273"/>
        </w:trPr>
        <w:tc>
          <w:tcPr>
            <w:cnfStyle w:val="001000000000" w:firstRow="0" w:lastRow="0" w:firstColumn="1" w:lastColumn="0" w:oddVBand="0" w:evenVBand="0" w:oddHBand="0" w:evenHBand="0" w:firstRowFirstColumn="0" w:firstRowLastColumn="0" w:lastRowFirstColumn="0" w:lastRowLastColumn="0"/>
            <w:tcW w:w="779" w:type="dxa"/>
          </w:tcPr>
          <w:p w:rsidR="00C625D6" w:rsidRPr="00AE2B37" w:rsidRDefault="00C625D6" w:rsidP="00333B54">
            <w:pPr>
              <w:rPr>
                <w:rFonts w:ascii="Arial" w:hAnsi="Arial" w:cs="Arial"/>
                <w:bCs w:val="0"/>
                <w:color w:val="00B0F0"/>
                <w:sz w:val="22"/>
                <w:szCs w:val="22"/>
              </w:rPr>
            </w:pPr>
            <w:r w:rsidRPr="00AE2B37">
              <w:rPr>
                <w:rFonts w:ascii="Arial" w:hAnsi="Arial" w:cs="Arial"/>
                <w:color w:val="00B0F0"/>
                <w:sz w:val="22"/>
                <w:szCs w:val="22"/>
              </w:rPr>
              <w:t>1</w:t>
            </w:r>
            <w:r w:rsidR="00333B54" w:rsidRPr="00AE2B37">
              <w:rPr>
                <w:rFonts w:ascii="Arial" w:hAnsi="Arial" w:cs="Arial"/>
                <w:color w:val="00B0F0"/>
                <w:sz w:val="22"/>
                <w:szCs w:val="22"/>
              </w:rPr>
              <w:t>4</w:t>
            </w:r>
            <w:r w:rsidRPr="00AE2B37">
              <w:rPr>
                <w:rFonts w:ascii="Arial" w:hAnsi="Arial" w:cs="Arial"/>
                <w:color w:val="00B0F0"/>
                <w:sz w:val="22"/>
                <w:szCs w:val="22"/>
              </w:rPr>
              <w:t>:</w:t>
            </w:r>
            <w:r w:rsidR="00BB1751" w:rsidRPr="00AE2B37">
              <w:rPr>
                <w:rFonts w:ascii="Arial" w:hAnsi="Arial" w:cs="Arial"/>
                <w:color w:val="00B0F0"/>
                <w:sz w:val="22"/>
                <w:szCs w:val="22"/>
              </w:rPr>
              <w:t>4</w:t>
            </w:r>
            <w:r w:rsidRPr="00AE2B37">
              <w:rPr>
                <w:rFonts w:ascii="Arial" w:hAnsi="Arial" w:cs="Arial"/>
                <w:color w:val="00B0F0"/>
                <w:sz w:val="22"/>
                <w:szCs w:val="22"/>
              </w:rPr>
              <w:t>5</w:t>
            </w:r>
          </w:p>
        </w:tc>
        <w:tc>
          <w:tcPr>
            <w:tcW w:w="8693" w:type="dxa"/>
          </w:tcPr>
          <w:p w:rsidR="00C625D6" w:rsidRPr="00D10EC2"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2"/>
                <w:szCs w:val="22"/>
              </w:rPr>
            </w:pPr>
            <w:r w:rsidRPr="00D10EC2">
              <w:rPr>
                <w:rFonts w:ascii="Arial" w:hAnsi="Arial" w:cs="Arial"/>
                <w:b/>
                <w:i/>
                <w:color w:val="002060"/>
                <w:sz w:val="22"/>
                <w:szCs w:val="22"/>
              </w:rPr>
              <w:t>What does business want and expect from the global trading system</w:t>
            </w:r>
            <w:r w:rsidRPr="00D10EC2">
              <w:rPr>
                <w:rFonts w:ascii="Arial" w:hAnsi="Arial" w:cs="Arial"/>
                <w:b/>
                <w:i/>
                <w:color w:val="17365D" w:themeColor="text2" w:themeShade="BF"/>
                <w:sz w:val="22"/>
                <w:szCs w:val="22"/>
              </w:rPr>
              <w:t xml:space="preserve">? </w:t>
            </w:r>
          </w:p>
          <w:p w:rsid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Doha Round has not attracted enthusiastic support from the business community in no small part because businesses were not actively involved in the preparations for the negotiations.  With the round at an impasse and governments struggling to find the way forward, businesses have renewed opportunities to suggest how the global trade agenda should be framed. What are the issues that governments should be raising at the WTO? </w:t>
            </w:r>
          </w:p>
          <w:p w:rsid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C625D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79" w:type="dxa"/>
            <w:tcBorders>
              <w:left w:val="none" w:sz="0" w:space="0" w:color="auto"/>
              <w:bottom w:val="none" w:sz="0" w:space="0" w:color="auto"/>
            </w:tcBorders>
          </w:tcPr>
          <w:p w:rsidR="00C625D6" w:rsidRPr="00AE2B37" w:rsidRDefault="00C625D6" w:rsidP="00333B54">
            <w:pPr>
              <w:rPr>
                <w:rFonts w:ascii="Arial" w:hAnsi="Arial" w:cs="Arial"/>
                <w:bCs w:val="0"/>
                <w:color w:val="00B0F0"/>
                <w:sz w:val="22"/>
                <w:szCs w:val="22"/>
              </w:rPr>
            </w:pPr>
            <w:r w:rsidRPr="00AE2B37">
              <w:rPr>
                <w:rFonts w:ascii="Arial" w:hAnsi="Arial" w:cs="Arial"/>
                <w:color w:val="00B0F0"/>
                <w:sz w:val="22"/>
                <w:szCs w:val="22"/>
              </w:rPr>
              <w:t>1</w:t>
            </w:r>
            <w:r w:rsidR="00333B54" w:rsidRPr="00AE2B37">
              <w:rPr>
                <w:rFonts w:ascii="Arial" w:hAnsi="Arial" w:cs="Arial"/>
                <w:color w:val="00B0F0"/>
                <w:sz w:val="22"/>
                <w:szCs w:val="22"/>
              </w:rPr>
              <w:t>5</w:t>
            </w:r>
            <w:r w:rsidRPr="00AE2B37">
              <w:rPr>
                <w:rFonts w:ascii="Arial" w:hAnsi="Arial" w:cs="Arial"/>
                <w:color w:val="00B0F0"/>
                <w:sz w:val="22"/>
                <w:szCs w:val="22"/>
              </w:rPr>
              <w:t>:</w:t>
            </w:r>
            <w:r w:rsidR="00333B54" w:rsidRPr="00AE2B37">
              <w:rPr>
                <w:rFonts w:ascii="Arial" w:hAnsi="Arial" w:cs="Arial"/>
                <w:color w:val="00B0F0"/>
                <w:sz w:val="22"/>
                <w:szCs w:val="22"/>
              </w:rPr>
              <w:t>45</w:t>
            </w:r>
          </w:p>
        </w:tc>
        <w:tc>
          <w:tcPr>
            <w:tcW w:w="8693" w:type="dxa"/>
            <w:tcBorders>
              <w:bottom w:val="none" w:sz="0" w:space="0" w:color="auto"/>
              <w:right w:val="none" w:sz="0" w:space="0" w:color="auto"/>
            </w:tcBorders>
          </w:tcPr>
          <w:p w:rsidR="00C625D6" w:rsidRPr="00D10EC2"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2"/>
                <w:szCs w:val="22"/>
              </w:rPr>
            </w:pPr>
            <w:r w:rsidRPr="00D10EC2">
              <w:rPr>
                <w:rFonts w:ascii="Arial" w:hAnsi="Arial" w:cs="Arial"/>
                <w:b/>
                <w:color w:val="002060"/>
                <w:sz w:val="22"/>
                <w:szCs w:val="22"/>
              </w:rPr>
              <w:t>Rapporteur’s summary</w:t>
            </w:r>
          </w:p>
          <w:p w:rsidR="00C625D6" w:rsidRDefault="00C625D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C625D6">
        <w:trPr>
          <w:trHeight w:val="273"/>
        </w:trPr>
        <w:tc>
          <w:tcPr>
            <w:cnfStyle w:val="001000000000" w:firstRow="0" w:lastRow="0" w:firstColumn="1" w:lastColumn="0" w:oddVBand="0" w:evenVBand="0" w:oddHBand="0" w:evenHBand="0" w:firstRowFirstColumn="0" w:firstRowLastColumn="0" w:lastRowFirstColumn="0" w:lastRowLastColumn="0"/>
            <w:tcW w:w="779" w:type="dxa"/>
          </w:tcPr>
          <w:p w:rsidR="00C625D6" w:rsidRPr="00AE2B37" w:rsidRDefault="00C625D6" w:rsidP="00333B54">
            <w:pPr>
              <w:rPr>
                <w:rFonts w:ascii="Arial" w:hAnsi="Arial" w:cs="Arial"/>
                <w:bCs w:val="0"/>
                <w:color w:val="00B0F0"/>
                <w:sz w:val="22"/>
                <w:szCs w:val="22"/>
              </w:rPr>
            </w:pPr>
            <w:r w:rsidRPr="00AE2B37">
              <w:rPr>
                <w:rFonts w:ascii="Arial" w:hAnsi="Arial" w:cs="Arial"/>
                <w:color w:val="00B0F0"/>
                <w:sz w:val="22"/>
                <w:szCs w:val="22"/>
              </w:rPr>
              <w:t>1</w:t>
            </w:r>
            <w:r w:rsidR="00333B54" w:rsidRPr="00AE2B37">
              <w:rPr>
                <w:rFonts w:ascii="Arial" w:hAnsi="Arial" w:cs="Arial"/>
                <w:color w:val="00B0F0"/>
                <w:sz w:val="22"/>
                <w:szCs w:val="22"/>
              </w:rPr>
              <w:t>6</w:t>
            </w:r>
            <w:r w:rsidRPr="00AE2B37">
              <w:rPr>
                <w:rFonts w:ascii="Arial" w:hAnsi="Arial" w:cs="Arial"/>
                <w:color w:val="00B0F0"/>
                <w:sz w:val="22"/>
                <w:szCs w:val="22"/>
              </w:rPr>
              <w:t>:</w:t>
            </w:r>
            <w:r w:rsidR="00333B54" w:rsidRPr="00AE2B37">
              <w:rPr>
                <w:rFonts w:ascii="Arial" w:hAnsi="Arial" w:cs="Arial"/>
                <w:color w:val="00B0F0"/>
                <w:sz w:val="22"/>
                <w:szCs w:val="22"/>
              </w:rPr>
              <w:t>15</w:t>
            </w:r>
          </w:p>
        </w:tc>
        <w:tc>
          <w:tcPr>
            <w:tcW w:w="8693" w:type="dxa"/>
          </w:tcPr>
          <w:p w:rsidR="00C625D6" w:rsidRDefault="00C625D6">
            <w:pPr>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2"/>
                <w:szCs w:val="22"/>
              </w:rPr>
            </w:pPr>
            <w:r w:rsidRPr="00D10EC2">
              <w:rPr>
                <w:rFonts w:ascii="Arial" w:hAnsi="Arial" w:cs="Arial"/>
                <w:b/>
                <w:color w:val="002060"/>
                <w:sz w:val="22"/>
                <w:szCs w:val="22"/>
              </w:rPr>
              <w:t>Concluding remarks</w:t>
            </w:r>
          </w:p>
          <w:p w:rsidR="00A10E60" w:rsidRDefault="00A10E60" w:rsidP="00A10E60">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Geoffrey Gamble, Director of International Government Affairs,</w:t>
            </w:r>
            <w:r w:rsidR="00333B54">
              <w:rPr>
                <w:rFonts w:ascii="Arial" w:hAnsi="Arial" w:cs="Arial"/>
                <w:i/>
                <w:sz w:val="22"/>
                <w:szCs w:val="22"/>
              </w:rPr>
              <w:t xml:space="preserve"> Du</w:t>
            </w:r>
            <w:r>
              <w:rPr>
                <w:rFonts w:ascii="Arial" w:hAnsi="Arial" w:cs="Arial"/>
                <w:i/>
                <w:sz w:val="22"/>
                <w:szCs w:val="22"/>
              </w:rPr>
              <w:t>Pont and Chair, ICC Commission on Trade and Investment Policy</w:t>
            </w:r>
          </w:p>
          <w:p w:rsidR="00A10E60" w:rsidRDefault="00A10E60">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bl>
    <w:p w:rsidR="00C625D6" w:rsidRDefault="00C625D6" w:rsidP="00C625D6">
      <w:pPr>
        <w:rPr>
          <w:rFonts w:ascii="Arial" w:hAnsi="Arial" w:cs="Arial"/>
          <w:sz w:val="22"/>
          <w:szCs w:val="22"/>
        </w:rPr>
      </w:pPr>
    </w:p>
    <w:p w:rsidR="00C625D6" w:rsidRDefault="00C625D6" w:rsidP="00C625D6">
      <w:pPr>
        <w:rPr>
          <w:rFonts w:ascii="Arial" w:hAnsi="Arial" w:cs="Arial"/>
        </w:rPr>
      </w:pPr>
    </w:p>
    <w:p w:rsidR="00F7780B" w:rsidRPr="00C625D6" w:rsidRDefault="00F7780B" w:rsidP="00C625D6">
      <w:pPr>
        <w:rPr>
          <w:rFonts w:ascii="Arial" w:hAnsi="Arial" w:cs="Arial"/>
          <w:i/>
          <w:sz w:val="20"/>
          <w:szCs w:val="20"/>
        </w:rPr>
      </w:pPr>
    </w:p>
    <w:sectPr w:rsidR="00F7780B" w:rsidRPr="00C625D6" w:rsidSect="00333B54">
      <w:headerReference w:type="default" r:id="rId8"/>
      <w:headerReference w:type="first" r:id="rId9"/>
      <w:footerReference w:type="first" r:id="rId10"/>
      <w:pgSz w:w="11900" w:h="16840"/>
      <w:pgMar w:top="2816" w:right="1010" w:bottom="141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09" w:rsidRDefault="00B62009" w:rsidP="004574B0">
      <w:r>
        <w:separator/>
      </w:r>
    </w:p>
  </w:endnote>
  <w:endnote w:type="continuationSeparator" w:id="0">
    <w:p w:rsidR="00B62009" w:rsidRDefault="00B62009" w:rsidP="0045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80B" w:rsidRDefault="00F7780B">
    <w:pPr>
      <w:pStyle w:val="Footer"/>
    </w:pPr>
    <w:r>
      <w:rPr>
        <w:noProof/>
        <w:lang w:val="en-GB" w:eastAsia="en-GB"/>
      </w:rPr>
      <w:drawing>
        <wp:anchor distT="0" distB="0" distL="114300" distR="114300" simplePos="0" relativeHeight="251664384" behindDoc="0" locked="0" layoutInCell="1" allowOverlap="1">
          <wp:simplePos x="0" y="0"/>
          <wp:positionH relativeFrom="column">
            <wp:posOffset>-563686</wp:posOffset>
          </wp:positionH>
          <wp:positionV relativeFrom="paragraph">
            <wp:posOffset>-453390</wp:posOffset>
          </wp:positionV>
          <wp:extent cx="2035695" cy="637603"/>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EngPosRGB.jpg"/>
                  <pic:cNvPicPr/>
                </pic:nvPicPr>
                <pic:blipFill>
                  <a:blip r:embed="rId1">
                    <a:extLst>
                      <a:ext uri="{28A0092B-C50C-407E-A947-70E740481C1C}">
                        <a14:useLocalDpi xmlns:a14="http://schemas.microsoft.com/office/drawing/2010/main" val="0"/>
                      </a:ext>
                    </a:extLst>
                  </a:blip>
                  <a:stretch>
                    <a:fillRect/>
                  </a:stretch>
                </pic:blipFill>
                <pic:spPr>
                  <a:xfrm>
                    <a:off x="0" y="0"/>
                    <a:ext cx="2035695" cy="63760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09" w:rsidRDefault="00B62009" w:rsidP="004574B0">
      <w:r>
        <w:separator/>
      </w:r>
    </w:p>
  </w:footnote>
  <w:footnote w:type="continuationSeparator" w:id="0">
    <w:p w:rsidR="00B62009" w:rsidRDefault="00B62009" w:rsidP="0045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D6" w:rsidRDefault="00C625D6" w:rsidP="00C625D6">
    <w:pPr>
      <w:pStyle w:val="Header"/>
      <w:ind w:firstLine="720"/>
    </w:pPr>
    <w:r w:rsidRPr="002B209B">
      <w:rPr>
        <w:rFonts w:ascii="Arial" w:hAnsi="Arial" w:cs="Arial"/>
        <w:noProof/>
        <w:sz w:val="20"/>
        <w:szCs w:val="20"/>
        <w:lang w:val="en-GB" w:eastAsia="en-GB"/>
      </w:rPr>
      <w:drawing>
        <wp:anchor distT="0" distB="0" distL="114300" distR="114300" simplePos="0" relativeHeight="251666432" behindDoc="0" locked="1" layoutInCell="1" allowOverlap="1">
          <wp:simplePos x="0" y="0"/>
          <wp:positionH relativeFrom="column">
            <wp:posOffset>-1148715</wp:posOffset>
          </wp:positionH>
          <wp:positionV relativeFrom="paragraph">
            <wp:posOffset>-460375</wp:posOffset>
          </wp:positionV>
          <wp:extent cx="7639050" cy="1837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A banner_large.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8376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A3" w:rsidRDefault="00454BDE">
    <w:pPr>
      <w:pStyle w:val="Header"/>
    </w:pPr>
    <w:r>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-988060</wp:posOffset>
              </wp:positionH>
              <wp:positionV relativeFrom="paragraph">
                <wp:posOffset>-472440</wp:posOffset>
              </wp:positionV>
              <wp:extent cx="1007110" cy="2030095"/>
              <wp:effectExtent l="0" t="0" r="254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7110" cy="2030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6D55" w:rsidRDefault="00A26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8pt;margin-top:-37.2pt;width:79.3pt;height:1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" fillcolor="white [3201]" stroked="f" strokeweight=".5pt">
              <v:path arrowok="t"/>
              <v:textbox>
                <w:txbxContent>
                  <w:p w:rsidR="00A26D55" w:rsidRDefault="00A26D55"/>
                </w:txbxContent>
              </v:textbox>
            </v:shape>
          </w:pict>
        </mc:Fallback>
      </mc:AlternateContent>
    </w:r>
    <w:r w:rsidR="007414A3" w:rsidRPr="002B209B">
      <w:rPr>
        <w:rFonts w:ascii="Arial" w:hAnsi="Arial" w:cs="Arial"/>
        <w:noProof/>
        <w:sz w:val="20"/>
        <w:szCs w:val="20"/>
        <w:lang w:val="en-GB" w:eastAsia="en-GB"/>
      </w:rPr>
      <w:drawing>
        <wp:anchor distT="0" distB="0" distL="114300" distR="114300" simplePos="0" relativeHeight="251663360" behindDoc="0" locked="1" layoutInCell="1" allowOverlap="1">
          <wp:simplePos x="0" y="0"/>
          <wp:positionH relativeFrom="column">
            <wp:posOffset>-1143000</wp:posOffset>
          </wp:positionH>
          <wp:positionV relativeFrom="paragraph">
            <wp:posOffset>-454660</wp:posOffset>
          </wp:positionV>
          <wp:extent cx="7639050" cy="18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A banner_large.jpg"/>
                  <pic:cNvPicPr/>
                </pic:nvPicPr>
                <pic:blipFill>
                  <a:blip r:embed="rId1">
                    <a:extLst>
                      <a:ext uri="{28A0092B-C50C-407E-A947-70E740481C1C}">
                        <a14:useLocalDpi xmlns:a14="http://schemas.microsoft.com/office/drawing/2010/main" val="0"/>
                      </a:ext>
                    </a:extLst>
                  </a:blip>
                  <a:stretch>
                    <a:fillRect/>
                  </a:stretch>
                </pic:blipFill>
                <pic:spPr>
                  <a:xfrm>
                    <a:off x="0" y="0"/>
                    <a:ext cx="7639050" cy="1837690"/>
                  </a:xfrm>
                  <a:prstGeom prst="rect">
                    <a:avLst/>
                  </a:prstGeom>
                </pic:spPr>
              </pic:pic>
            </a:graphicData>
          </a:graphic>
        </wp:anchor>
      </w:drawing>
    </w:r>
  </w:p>
  <w:p w:rsidR="00A26D55" w:rsidRDefault="00A26D55">
    <w:pPr>
      <w:pStyle w:val="Header"/>
    </w:pPr>
  </w:p>
  <w:p w:rsidR="00A26D55" w:rsidRDefault="00A26D55">
    <w:pPr>
      <w:pStyle w:val="Header"/>
    </w:pPr>
  </w:p>
  <w:p w:rsidR="00A26D55" w:rsidRDefault="00A26D55">
    <w:pPr>
      <w:pStyle w:val="Header"/>
    </w:pPr>
  </w:p>
  <w:p w:rsidR="00A26D55" w:rsidRDefault="00A26D55">
    <w:pPr>
      <w:pStyle w:val="Header"/>
    </w:pPr>
  </w:p>
  <w:p w:rsidR="00A26D55" w:rsidRDefault="00A26D55">
    <w:pPr>
      <w:pStyle w:val="Header"/>
    </w:pPr>
  </w:p>
  <w:p w:rsidR="00333B54" w:rsidRDefault="00333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F7"/>
    <w:rsid w:val="000E4A50"/>
    <w:rsid w:val="001160B6"/>
    <w:rsid w:val="001B7E12"/>
    <w:rsid w:val="001C3CBE"/>
    <w:rsid w:val="00245C1C"/>
    <w:rsid w:val="00292F4A"/>
    <w:rsid w:val="002A18F6"/>
    <w:rsid w:val="002B209B"/>
    <w:rsid w:val="002D1745"/>
    <w:rsid w:val="002E6A1A"/>
    <w:rsid w:val="00333B54"/>
    <w:rsid w:val="003D04DF"/>
    <w:rsid w:val="00454BDE"/>
    <w:rsid w:val="004574B0"/>
    <w:rsid w:val="004F35EE"/>
    <w:rsid w:val="00606260"/>
    <w:rsid w:val="007414A3"/>
    <w:rsid w:val="00896640"/>
    <w:rsid w:val="008E3F84"/>
    <w:rsid w:val="009230F7"/>
    <w:rsid w:val="009D6050"/>
    <w:rsid w:val="00A10E60"/>
    <w:rsid w:val="00A26D55"/>
    <w:rsid w:val="00A33744"/>
    <w:rsid w:val="00AE2B37"/>
    <w:rsid w:val="00B12CA7"/>
    <w:rsid w:val="00B61F46"/>
    <w:rsid w:val="00B62009"/>
    <w:rsid w:val="00BB1751"/>
    <w:rsid w:val="00C625D6"/>
    <w:rsid w:val="00C969A5"/>
    <w:rsid w:val="00CE2A58"/>
    <w:rsid w:val="00D10EC2"/>
    <w:rsid w:val="00DF4C07"/>
    <w:rsid w:val="00F02A02"/>
    <w:rsid w:val="00F778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F7"/>
    <w:rPr>
      <w:rFonts w:ascii="Lucida Grande" w:hAnsi="Lucida Grande" w:cs="Lucida Grande"/>
      <w:sz w:val="18"/>
      <w:szCs w:val="18"/>
    </w:rPr>
  </w:style>
  <w:style w:type="paragraph" w:styleId="Header">
    <w:name w:val="header"/>
    <w:basedOn w:val="Normal"/>
    <w:link w:val="HeaderChar"/>
    <w:uiPriority w:val="99"/>
    <w:unhideWhenUsed/>
    <w:rsid w:val="004574B0"/>
    <w:pPr>
      <w:tabs>
        <w:tab w:val="center" w:pos="4536"/>
        <w:tab w:val="right" w:pos="9072"/>
      </w:tabs>
    </w:pPr>
  </w:style>
  <w:style w:type="character" w:customStyle="1" w:styleId="HeaderChar">
    <w:name w:val="Header Char"/>
    <w:basedOn w:val="DefaultParagraphFont"/>
    <w:link w:val="Header"/>
    <w:uiPriority w:val="99"/>
    <w:rsid w:val="004574B0"/>
  </w:style>
  <w:style w:type="paragraph" w:styleId="Footer">
    <w:name w:val="footer"/>
    <w:basedOn w:val="Normal"/>
    <w:link w:val="FooterChar"/>
    <w:uiPriority w:val="99"/>
    <w:unhideWhenUsed/>
    <w:rsid w:val="004574B0"/>
    <w:pPr>
      <w:tabs>
        <w:tab w:val="center" w:pos="4536"/>
        <w:tab w:val="right" w:pos="9072"/>
      </w:tabs>
    </w:pPr>
  </w:style>
  <w:style w:type="character" w:customStyle="1" w:styleId="FooterChar">
    <w:name w:val="Footer Char"/>
    <w:basedOn w:val="DefaultParagraphFont"/>
    <w:link w:val="Footer"/>
    <w:uiPriority w:val="99"/>
    <w:rsid w:val="004574B0"/>
  </w:style>
  <w:style w:type="table" w:styleId="MediumShading1-Accent1">
    <w:name w:val="Medium Shading 1 Accent 1"/>
    <w:basedOn w:val="TableNormal"/>
    <w:uiPriority w:val="63"/>
    <w:rsid w:val="00C625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625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0F7"/>
    <w:rPr>
      <w:rFonts w:ascii="Lucida Grande" w:hAnsi="Lucida Grande" w:cs="Lucida Grande"/>
      <w:sz w:val="18"/>
      <w:szCs w:val="18"/>
    </w:rPr>
  </w:style>
  <w:style w:type="paragraph" w:styleId="Header">
    <w:name w:val="header"/>
    <w:basedOn w:val="Normal"/>
    <w:link w:val="HeaderChar"/>
    <w:uiPriority w:val="99"/>
    <w:unhideWhenUsed/>
    <w:rsid w:val="004574B0"/>
    <w:pPr>
      <w:tabs>
        <w:tab w:val="center" w:pos="4536"/>
        <w:tab w:val="right" w:pos="9072"/>
      </w:tabs>
    </w:pPr>
  </w:style>
  <w:style w:type="character" w:customStyle="1" w:styleId="HeaderChar">
    <w:name w:val="Header Char"/>
    <w:basedOn w:val="DefaultParagraphFont"/>
    <w:link w:val="Header"/>
    <w:uiPriority w:val="99"/>
    <w:rsid w:val="004574B0"/>
  </w:style>
  <w:style w:type="paragraph" w:styleId="Footer">
    <w:name w:val="footer"/>
    <w:basedOn w:val="Normal"/>
    <w:link w:val="FooterChar"/>
    <w:uiPriority w:val="99"/>
    <w:unhideWhenUsed/>
    <w:rsid w:val="004574B0"/>
    <w:pPr>
      <w:tabs>
        <w:tab w:val="center" w:pos="4536"/>
        <w:tab w:val="right" w:pos="9072"/>
      </w:tabs>
    </w:pPr>
  </w:style>
  <w:style w:type="character" w:customStyle="1" w:styleId="FooterChar">
    <w:name w:val="Footer Char"/>
    <w:basedOn w:val="DefaultParagraphFont"/>
    <w:link w:val="Footer"/>
    <w:uiPriority w:val="99"/>
    <w:rsid w:val="004574B0"/>
  </w:style>
  <w:style w:type="table" w:styleId="MediumShading1-Accent1">
    <w:name w:val="Medium Shading 1 Accent 1"/>
    <w:basedOn w:val="TableNormal"/>
    <w:uiPriority w:val="63"/>
    <w:rsid w:val="00C625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625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4D61-86B7-4A23-B29D-19A00A5D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ICC Service</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Dombrowski Jeff</dc:creator>
  <cp:lastModifiedBy>William</cp:lastModifiedBy>
  <cp:revision>2</cp:revision>
  <cp:lastPrinted>2012-02-23T15:19:00Z</cp:lastPrinted>
  <dcterms:created xsi:type="dcterms:W3CDTF">2012-03-16T14:21:00Z</dcterms:created>
  <dcterms:modified xsi:type="dcterms:W3CDTF">2012-03-16T14:21:00Z</dcterms:modified>
</cp:coreProperties>
</file>