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778" w:rsidRDefault="00306778" w:rsidP="00306778">
      <w:pPr>
        <w:jc w:val="center"/>
        <w:outlineLvl w:val="0"/>
        <w:rPr>
          <w:b/>
          <w:bCs/>
          <w:smallCaps/>
          <w:spacing w:val="20"/>
          <w:sz w:val="32"/>
          <w:szCs w:val="32"/>
        </w:rPr>
      </w:pPr>
      <w:r>
        <w:rPr>
          <w:b/>
          <w:bCs/>
          <w:smallCaps/>
          <w:spacing w:val="20"/>
          <w:sz w:val="32"/>
          <w:szCs w:val="32"/>
        </w:rPr>
        <w:t>talking points of the united states</w:t>
      </w:r>
    </w:p>
    <w:p w:rsidR="00306778" w:rsidRPr="00146CA6" w:rsidRDefault="00306778" w:rsidP="00306778">
      <w:pPr>
        <w:jc w:val="center"/>
        <w:outlineLvl w:val="0"/>
        <w:rPr>
          <w:b/>
          <w:bCs/>
          <w:smallCaps/>
          <w:spacing w:val="20"/>
          <w:sz w:val="32"/>
          <w:szCs w:val="32"/>
        </w:rPr>
      </w:pPr>
      <w:r>
        <w:rPr>
          <w:b/>
          <w:bCs/>
          <w:smallCaps/>
          <w:spacing w:val="20"/>
          <w:sz w:val="32"/>
          <w:szCs w:val="32"/>
        </w:rPr>
        <w:t>as read</w:t>
      </w:r>
    </w:p>
    <w:p w:rsidR="00306778" w:rsidRPr="00146CA6" w:rsidRDefault="00306778" w:rsidP="00306778">
      <w:pPr>
        <w:jc w:val="center"/>
        <w:outlineLvl w:val="0"/>
        <w:rPr>
          <w:b/>
          <w:bCs/>
          <w:smallCaps/>
        </w:rPr>
      </w:pPr>
    </w:p>
    <w:p w:rsidR="00306778" w:rsidRPr="00146CA6" w:rsidRDefault="00306778" w:rsidP="00306778">
      <w:pPr>
        <w:jc w:val="center"/>
        <w:outlineLvl w:val="0"/>
        <w:rPr>
          <w:b/>
          <w:bCs/>
          <w:smallCaps/>
        </w:rPr>
      </w:pPr>
      <w:r w:rsidRPr="00146CA6">
        <w:rPr>
          <w:b/>
          <w:bCs/>
          <w:smallCaps/>
        </w:rPr>
        <w:t>TRIPS COUNCIL MEETING</w:t>
      </w:r>
    </w:p>
    <w:p w:rsidR="00306778" w:rsidRPr="00146CA6" w:rsidRDefault="00306778" w:rsidP="00306778">
      <w:pPr>
        <w:jc w:val="center"/>
        <w:outlineLvl w:val="0"/>
        <w:rPr>
          <w:b/>
          <w:bCs/>
          <w:i/>
        </w:rPr>
      </w:pPr>
      <w:r w:rsidRPr="00146CA6">
        <w:rPr>
          <w:b/>
          <w:bCs/>
          <w:i/>
        </w:rPr>
        <w:t>October 24-25, 2011</w:t>
      </w:r>
    </w:p>
    <w:p w:rsidR="00306778" w:rsidRDefault="00306778" w:rsidP="00306778">
      <w:pPr>
        <w:rPr>
          <w:b/>
          <w:caps/>
        </w:rPr>
      </w:pPr>
      <w:r>
        <w:rPr>
          <w:b/>
          <w:caps/>
        </w:rPr>
        <w:t>agenda</w:t>
      </w:r>
    </w:p>
    <w:p w:rsidR="00306778" w:rsidRDefault="00306778" w:rsidP="00306778">
      <w:pPr>
        <w:rPr>
          <w:b/>
          <w:caps/>
        </w:rPr>
      </w:pPr>
    </w:p>
    <w:p w:rsidR="00306778" w:rsidRPr="000178C5" w:rsidRDefault="00306778" w:rsidP="00306778"/>
    <w:p w:rsidR="00306778" w:rsidRDefault="00306778" w:rsidP="00306778">
      <w:r>
        <w:t>Some Members have raised questions regarding the agenda item on enforcement.  I would like to take the opportunity to respond to the questions raised.</w:t>
      </w:r>
    </w:p>
    <w:p w:rsidR="00306778" w:rsidRDefault="00306778" w:rsidP="00306778"/>
    <w:p w:rsidR="00306778" w:rsidRPr="00C25342" w:rsidRDefault="00306778" w:rsidP="00306778">
      <w:r w:rsidRPr="00C25342">
        <w:t>We have proposed an agenda item on intellectual property rights enforcement and Part III of the TRIPS Agreement.  This item is squarely within the mandate of this Council.</w:t>
      </w:r>
    </w:p>
    <w:p w:rsidR="00306778" w:rsidRPr="000178C5" w:rsidRDefault="00306778" w:rsidP="00306778">
      <w:pPr>
        <w:pStyle w:val="ListParagraph"/>
        <w:rPr>
          <w:rFonts w:ascii="Times New Roman" w:hAnsi="Times New Roman"/>
          <w:sz w:val="24"/>
          <w:szCs w:val="24"/>
        </w:rPr>
      </w:pPr>
    </w:p>
    <w:p w:rsidR="00306778" w:rsidRPr="00C25342" w:rsidRDefault="00306778" w:rsidP="00306778">
      <w:r w:rsidRPr="00C25342">
        <w:t>We have a serious problem if WTO Member</w:t>
      </w:r>
      <w:r>
        <w:t>s</w:t>
      </w:r>
      <w:r w:rsidRPr="00C25342">
        <w:t xml:space="preserve"> cannot discuss a pos</w:t>
      </w:r>
      <w:r>
        <w:t>itive IP enforcement item in this</w:t>
      </w:r>
      <w:r w:rsidRPr="00C25342">
        <w:t xml:space="preserve"> Council dedicated to IP protection and enforcement issues.</w:t>
      </w:r>
    </w:p>
    <w:p w:rsidR="00306778" w:rsidRPr="000178C5" w:rsidRDefault="00306778" w:rsidP="00306778">
      <w:pPr>
        <w:rPr>
          <w:b/>
          <w:i/>
        </w:rPr>
      </w:pPr>
    </w:p>
    <w:p w:rsidR="00306778" w:rsidRPr="00C25342" w:rsidRDefault="00306778" w:rsidP="00306778">
      <w:r w:rsidRPr="00C25342">
        <w:t>These objections are particularly problematic from the perspective of transparency.</w:t>
      </w:r>
    </w:p>
    <w:p w:rsidR="00306778" w:rsidRPr="000178C5" w:rsidRDefault="00306778" w:rsidP="00306778">
      <w:pPr>
        <w:pStyle w:val="ListParagraph"/>
        <w:rPr>
          <w:rFonts w:ascii="Times New Roman" w:hAnsi="Times New Roman"/>
          <w:sz w:val="24"/>
          <w:szCs w:val="24"/>
        </w:rPr>
      </w:pPr>
    </w:p>
    <w:p w:rsidR="00306778" w:rsidRPr="00C25342" w:rsidRDefault="00306778" w:rsidP="00306778">
      <w:r w:rsidRPr="00C25342">
        <w:t xml:space="preserve">Generally, this proposed item provides an opportunity to discuss ACTA and the promotion of IP enforcement.  Specifically, it offers the ACTA participants the chance to answer questions posed by WTO Members in this Council.  We find today’s objections curious in light of those questions.  How can questions be answered if no opportunity is provided? </w:t>
      </w:r>
    </w:p>
    <w:p w:rsidR="00306778" w:rsidRPr="000178C5" w:rsidRDefault="00306778" w:rsidP="00306778">
      <w:pPr>
        <w:pStyle w:val="ListParagraph"/>
        <w:rPr>
          <w:rFonts w:ascii="Times New Roman" w:hAnsi="Times New Roman"/>
          <w:sz w:val="24"/>
          <w:szCs w:val="24"/>
        </w:rPr>
      </w:pPr>
    </w:p>
    <w:p w:rsidR="00306778" w:rsidRPr="00C25342" w:rsidRDefault="00306778" w:rsidP="00306778">
      <w:r w:rsidRPr="00C25342">
        <w:rPr>
          <w:color w:val="000000"/>
        </w:rPr>
        <w:t>In 2010, there was interest among many of those Members objecting now, to discuss “Enforcement”.  In the June 2010 meeting, one Member specifically sought to discuss ACTA, noting that the agreement was “mysterious”.  Members asked questions about its provisions and objectives.</w:t>
      </w:r>
    </w:p>
    <w:p w:rsidR="00306778" w:rsidRPr="000178C5" w:rsidRDefault="00306778" w:rsidP="00306778">
      <w:pPr>
        <w:pStyle w:val="ListParagraph"/>
        <w:rPr>
          <w:rFonts w:ascii="Times New Roman" w:hAnsi="Times New Roman"/>
          <w:color w:val="000000"/>
          <w:sz w:val="24"/>
          <w:szCs w:val="24"/>
        </w:rPr>
      </w:pPr>
    </w:p>
    <w:p w:rsidR="00306778" w:rsidRPr="00C25342" w:rsidRDefault="00306778" w:rsidP="00306778">
      <w:r w:rsidRPr="00C25342">
        <w:rPr>
          <w:color w:val="000000"/>
        </w:rPr>
        <w:t xml:space="preserve">China, for example, noted in June 2010 that based on the draft agreement, acknowledging that the text was in brackets, there seemed to be intention to broaden the scope of piracy and counterfeit.  </w:t>
      </w:r>
    </w:p>
    <w:p w:rsidR="00306778" w:rsidRPr="000178C5" w:rsidRDefault="00306778" w:rsidP="00306778">
      <w:pPr>
        <w:pStyle w:val="ListParagraph"/>
        <w:ind w:left="1440"/>
        <w:rPr>
          <w:rFonts w:ascii="Times New Roman" w:hAnsi="Times New Roman"/>
          <w:sz w:val="24"/>
          <w:szCs w:val="24"/>
        </w:rPr>
      </w:pPr>
    </w:p>
    <w:p w:rsidR="00306778" w:rsidRPr="00C25342" w:rsidRDefault="00306778" w:rsidP="00306778">
      <w:r w:rsidRPr="00C25342">
        <w:rPr>
          <w:color w:val="000000"/>
        </w:rPr>
        <w:t>To answer that question, ACTA does not broaden the scope of piracy and counterfeits.  As provided in the definitions section of the agreement, counterfeit and pirated goods are defined the same way as they are defined in the TRIPS Agreement.</w:t>
      </w:r>
    </w:p>
    <w:p w:rsidR="00306778" w:rsidRPr="002059F4" w:rsidRDefault="00306778" w:rsidP="00306778"/>
    <w:p w:rsidR="00306778" w:rsidRPr="00C25342" w:rsidRDefault="00306778" w:rsidP="00306778">
      <w:r w:rsidRPr="00C25342">
        <w:t>This agenda request satisfied the Council’s procedural rules and surpassed them.  The request was submitted to the Secretariat prior to the 10-day notice to Members pursuant to Rule 3 and was submitted in writing pursuant to Rule 4 of the Rules of Procedure.</w:t>
      </w:r>
    </w:p>
    <w:p w:rsidR="00306778" w:rsidRPr="000178C5" w:rsidRDefault="00306778" w:rsidP="00306778">
      <w:pPr>
        <w:pStyle w:val="ListParagraph"/>
        <w:rPr>
          <w:rFonts w:ascii="Times New Roman" w:hAnsi="Times New Roman"/>
          <w:sz w:val="24"/>
          <w:szCs w:val="24"/>
        </w:rPr>
      </w:pPr>
    </w:p>
    <w:p w:rsidR="00306778" w:rsidRPr="00C25342" w:rsidRDefault="00306778" w:rsidP="00306778">
      <w:pPr>
        <w:rPr>
          <w:color w:val="000000"/>
        </w:rPr>
      </w:pPr>
      <w:r w:rsidRPr="00C25342">
        <w:rPr>
          <w:color w:val="000000"/>
        </w:rPr>
        <w:t>In addition, we provided the ACTA text for the consideration of Members.  In fact, this is rare.  It is not common practice for Members requesting agenda items to provide additional written documentation.</w:t>
      </w:r>
    </w:p>
    <w:p w:rsidR="00306778" w:rsidRPr="000178C5" w:rsidRDefault="00306778" w:rsidP="00306778">
      <w:pPr>
        <w:pStyle w:val="ListParagraph"/>
        <w:ind w:left="0"/>
        <w:rPr>
          <w:rFonts w:ascii="Times New Roman" w:hAnsi="Times New Roman"/>
          <w:color w:val="000000"/>
          <w:sz w:val="24"/>
          <w:szCs w:val="24"/>
        </w:rPr>
      </w:pPr>
    </w:p>
    <w:p w:rsidR="00306778" w:rsidRPr="004978AD" w:rsidRDefault="00306778" w:rsidP="004978AD">
      <w:pPr>
        <w:rPr>
          <w:color w:val="000000"/>
        </w:rPr>
      </w:pPr>
      <w:r w:rsidRPr="004978AD">
        <w:rPr>
          <w:color w:val="000000"/>
        </w:rPr>
        <w:t>Rule 25 of the Rules of Procedure</w:t>
      </w:r>
      <w:r w:rsidR="004978AD">
        <w:rPr>
          <w:color w:val="000000"/>
        </w:rPr>
        <w:t xml:space="preserve"> provides, in relevant part, that Members </w:t>
      </w:r>
      <w:r w:rsidRPr="004978AD">
        <w:rPr>
          <w:color w:val="000000"/>
        </w:rPr>
        <w:t xml:space="preserve">“should avoid unduly </w:t>
      </w:r>
      <w:r w:rsidRPr="004978AD">
        <w:rPr>
          <w:color w:val="000000"/>
        </w:rPr>
        <w:lastRenderedPageBreak/>
        <w:t>long debates under ‘Other Business.’  Discussion on substantive issues under ‘Other Business’ shall be avoided</w:t>
      </w:r>
      <w:r w:rsidR="004978AD">
        <w:rPr>
          <w:color w:val="000000"/>
        </w:rPr>
        <w:t>..</w:t>
      </w:r>
      <w:r w:rsidRPr="004978AD">
        <w:rPr>
          <w:color w:val="000000"/>
        </w:rPr>
        <w:t>.”  Today’s discussion, which has already taken an hour,  has demonstrated that Members welcome a substantive discussion.  For that reason, among others, “Other Business” is not appropriate.  Our position remains that this item should be addressed as it has been proposed, as a separate item on the agenda for this meeting.</w:t>
      </w:r>
    </w:p>
    <w:p w:rsidR="00306778" w:rsidRDefault="00306778" w:rsidP="00306778">
      <w:pPr>
        <w:rPr>
          <w:b/>
          <w:caps/>
        </w:rPr>
      </w:pPr>
    </w:p>
    <w:p w:rsidR="00306778" w:rsidRDefault="00306778" w:rsidP="00306778">
      <w:pPr>
        <w:rPr>
          <w:b/>
          <w:caps/>
        </w:rPr>
      </w:pPr>
    </w:p>
    <w:p w:rsidR="00306778" w:rsidRPr="009576DE" w:rsidRDefault="00306778" w:rsidP="00306778">
      <w:pPr>
        <w:rPr>
          <w:b/>
          <w:caps/>
        </w:rPr>
      </w:pPr>
      <w:r w:rsidRPr="009576DE">
        <w:rPr>
          <w:b/>
          <w:caps/>
        </w:rPr>
        <w:t>A.</w:t>
      </w:r>
      <w:r w:rsidRPr="009576DE">
        <w:rPr>
          <w:b/>
          <w:caps/>
        </w:rPr>
        <w:tab/>
        <w:t>Notifications Under Provisions of the Agreement</w:t>
      </w:r>
    </w:p>
    <w:p w:rsidR="00306778" w:rsidRPr="009576DE" w:rsidRDefault="00306778" w:rsidP="00306778"/>
    <w:p w:rsidR="00306778" w:rsidRPr="000E1B1A" w:rsidRDefault="00306778" w:rsidP="00306778"/>
    <w:p w:rsidR="00306778" w:rsidRPr="004978AD" w:rsidRDefault="00306778" w:rsidP="004978AD">
      <w:r w:rsidRPr="004978AD">
        <w:t xml:space="preserve">On September 16, 2011, as you mentioned, President Obama signed into law the Leahy-Smith America Invents Act.   </w:t>
      </w:r>
    </w:p>
    <w:p w:rsidR="00306778" w:rsidRPr="000E1B1A" w:rsidRDefault="00306778" w:rsidP="00306778"/>
    <w:p w:rsidR="00306778" w:rsidRPr="004978AD" w:rsidRDefault="00306778" w:rsidP="004978AD">
      <w:r w:rsidRPr="004978AD">
        <w:t>This Act will bring about the most comprehensive overhaul to our nation's patent system in over 60 years.</w:t>
      </w:r>
    </w:p>
    <w:p w:rsidR="00306778" w:rsidRPr="000E1B1A" w:rsidRDefault="00306778" w:rsidP="00306778"/>
    <w:p w:rsidR="00306778" w:rsidRPr="004978AD" w:rsidRDefault="00306778" w:rsidP="004978AD">
      <w:r w:rsidRPr="004978AD">
        <w:t xml:space="preserve">The new law will afford more certainty for patent applicants and owners, and will provide the United States Patent and Trademark Office with the resources needed to operate efficiently and issue high-quality patents.  Implementation of the new law will occur over a period of months, and the USPTO will seek input from interested parties, and will provide updates, during the implementation process.  </w:t>
      </w:r>
    </w:p>
    <w:p w:rsidR="00306778" w:rsidRPr="000E1B1A" w:rsidRDefault="00306778" w:rsidP="00306778"/>
    <w:p w:rsidR="00306778" w:rsidRPr="004978AD" w:rsidRDefault="00306778" w:rsidP="004978AD">
      <w:r w:rsidRPr="004978AD">
        <w:t>Key elements of this new law include:</w:t>
      </w:r>
    </w:p>
    <w:p w:rsidR="00306778" w:rsidRDefault="00306778" w:rsidP="00306778"/>
    <w:p w:rsidR="00306778" w:rsidRPr="008D22ED" w:rsidRDefault="00306778" w:rsidP="00306778">
      <w:pPr>
        <w:pStyle w:val="ListParagraph"/>
        <w:numPr>
          <w:ilvl w:val="0"/>
          <w:numId w:val="10"/>
        </w:numPr>
        <w:rPr>
          <w:rFonts w:ascii="Times New Roman" w:hAnsi="Times New Roman"/>
          <w:sz w:val="24"/>
          <w:szCs w:val="24"/>
        </w:rPr>
      </w:pPr>
      <w:r w:rsidRPr="008D22ED">
        <w:rPr>
          <w:rFonts w:ascii="Times New Roman" w:hAnsi="Times New Roman"/>
          <w:sz w:val="24"/>
          <w:szCs w:val="24"/>
        </w:rPr>
        <w:t>A fast track option to allow Patent Processing within 12 Months.</w:t>
      </w:r>
    </w:p>
    <w:p w:rsidR="00306778" w:rsidRPr="008D22ED" w:rsidRDefault="00306778" w:rsidP="00306778">
      <w:pPr>
        <w:pStyle w:val="ListParagraph"/>
        <w:numPr>
          <w:ilvl w:val="0"/>
          <w:numId w:val="10"/>
        </w:numPr>
        <w:rPr>
          <w:rFonts w:ascii="Times New Roman" w:hAnsi="Times New Roman"/>
          <w:sz w:val="24"/>
          <w:szCs w:val="24"/>
        </w:rPr>
      </w:pPr>
      <w:r>
        <w:rPr>
          <w:rFonts w:ascii="Times New Roman" w:hAnsi="Times New Roman"/>
          <w:sz w:val="24"/>
          <w:szCs w:val="24"/>
        </w:rPr>
        <w:t>Reduction of</w:t>
      </w:r>
      <w:r w:rsidRPr="008D22ED">
        <w:rPr>
          <w:rFonts w:ascii="Times New Roman" w:hAnsi="Times New Roman"/>
          <w:sz w:val="24"/>
          <w:szCs w:val="24"/>
        </w:rPr>
        <w:t xml:space="preserve"> the current patent backlog, by providing more resources for patent examination.</w:t>
      </w:r>
    </w:p>
    <w:p w:rsidR="00306778" w:rsidRPr="008D22ED" w:rsidRDefault="00306778" w:rsidP="00306778">
      <w:pPr>
        <w:pStyle w:val="ListParagraph"/>
        <w:numPr>
          <w:ilvl w:val="0"/>
          <w:numId w:val="10"/>
        </w:numPr>
        <w:rPr>
          <w:rFonts w:ascii="Times New Roman" w:hAnsi="Times New Roman"/>
          <w:sz w:val="24"/>
          <w:szCs w:val="24"/>
        </w:rPr>
      </w:pPr>
      <w:r>
        <w:rPr>
          <w:rFonts w:ascii="Times New Roman" w:hAnsi="Times New Roman"/>
          <w:sz w:val="24"/>
          <w:szCs w:val="24"/>
        </w:rPr>
        <w:t>Reduction of</w:t>
      </w:r>
      <w:r w:rsidRPr="008D22ED">
        <w:rPr>
          <w:rFonts w:ascii="Times New Roman" w:hAnsi="Times New Roman"/>
          <w:sz w:val="24"/>
          <w:szCs w:val="24"/>
        </w:rPr>
        <w:t xml:space="preserve"> litigation by</w:t>
      </w:r>
      <w:r>
        <w:rPr>
          <w:rFonts w:ascii="Times New Roman" w:hAnsi="Times New Roman"/>
          <w:sz w:val="24"/>
          <w:szCs w:val="24"/>
        </w:rPr>
        <w:t>:</w:t>
      </w:r>
      <w:r w:rsidRPr="008D22ED">
        <w:rPr>
          <w:rFonts w:ascii="Times New Roman" w:hAnsi="Times New Roman"/>
          <w:sz w:val="24"/>
          <w:szCs w:val="24"/>
        </w:rPr>
        <w:t xml:space="preserve"> expanding the opportunity for p</w:t>
      </w:r>
      <w:r>
        <w:rPr>
          <w:rFonts w:ascii="Times New Roman" w:hAnsi="Times New Roman"/>
          <w:sz w:val="24"/>
          <w:szCs w:val="24"/>
        </w:rPr>
        <w:t>arties</w:t>
      </w:r>
      <w:r w:rsidRPr="008D22ED">
        <w:rPr>
          <w:rFonts w:ascii="Times New Roman" w:hAnsi="Times New Roman"/>
          <w:sz w:val="24"/>
          <w:szCs w:val="24"/>
        </w:rPr>
        <w:t xml:space="preserve"> other than the patent applicant to submit information to the </w:t>
      </w:r>
      <w:r>
        <w:rPr>
          <w:rFonts w:ascii="Times New Roman" w:hAnsi="Times New Roman"/>
          <w:sz w:val="24"/>
          <w:szCs w:val="24"/>
        </w:rPr>
        <w:t>USPTO</w:t>
      </w:r>
      <w:r w:rsidRPr="008D22ED">
        <w:rPr>
          <w:rFonts w:ascii="Times New Roman" w:hAnsi="Times New Roman"/>
          <w:sz w:val="24"/>
          <w:szCs w:val="24"/>
        </w:rPr>
        <w:t xml:space="preserve"> in </w:t>
      </w:r>
      <w:r>
        <w:rPr>
          <w:rFonts w:ascii="Times New Roman" w:hAnsi="Times New Roman"/>
          <w:sz w:val="24"/>
          <w:szCs w:val="24"/>
        </w:rPr>
        <w:t xml:space="preserve">connection with </w:t>
      </w:r>
      <w:r w:rsidRPr="008D22ED">
        <w:rPr>
          <w:rFonts w:ascii="Times New Roman" w:hAnsi="Times New Roman"/>
          <w:sz w:val="24"/>
          <w:szCs w:val="24"/>
        </w:rPr>
        <w:t>the examination of a patent application</w:t>
      </w:r>
      <w:r>
        <w:rPr>
          <w:rFonts w:ascii="Times New Roman" w:hAnsi="Times New Roman"/>
          <w:sz w:val="24"/>
          <w:szCs w:val="24"/>
        </w:rPr>
        <w:t>;</w:t>
      </w:r>
      <w:r w:rsidRPr="008D22ED">
        <w:rPr>
          <w:rFonts w:ascii="Times New Roman" w:hAnsi="Times New Roman"/>
          <w:sz w:val="24"/>
          <w:szCs w:val="24"/>
        </w:rPr>
        <w:t xml:space="preserve"> providing for supplemental examination at the request of the patentee</w:t>
      </w:r>
      <w:r>
        <w:rPr>
          <w:rFonts w:ascii="Times New Roman" w:hAnsi="Times New Roman"/>
          <w:sz w:val="24"/>
          <w:szCs w:val="24"/>
        </w:rPr>
        <w:t>;</w:t>
      </w:r>
      <w:r w:rsidRPr="008D22ED">
        <w:rPr>
          <w:rFonts w:ascii="Times New Roman" w:hAnsi="Times New Roman"/>
          <w:sz w:val="24"/>
          <w:szCs w:val="24"/>
        </w:rPr>
        <w:t xml:space="preserve"> and</w:t>
      </w:r>
      <w:r>
        <w:rPr>
          <w:rFonts w:ascii="Times New Roman" w:hAnsi="Times New Roman"/>
          <w:sz w:val="24"/>
          <w:szCs w:val="24"/>
        </w:rPr>
        <w:t>,</w:t>
      </w:r>
      <w:r w:rsidRPr="008D22ED">
        <w:rPr>
          <w:rFonts w:ascii="Times New Roman" w:hAnsi="Times New Roman"/>
          <w:sz w:val="24"/>
          <w:szCs w:val="24"/>
        </w:rPr>
        <w:t xml:space="preserve"> by providing a post-grant review proceeding.  </w:t>
      </w:r>
    </w:p>
    <w:p w:rsidR="00306778" w:rsidRPr="008D22ED" w:rsidRDefault="00306778" w:rsidP="00306778">
      <w:pPr>
        <w:pStyle w:val="ListParagraph"/>
        <w:numPr>
          <w:ilvl w:val="0"/>
          <w:numId w:val="10"/>
        </w:numPr>
        <w:rPr>
          <w:rFonts w:ascii="Times New Roman" w:hAnsi="Times New Roman"/>
          <w:sz w:val="24"/>
          <w:szCs w:val="24"/>
        </w:rPr>
      </w:pPr>
      <w:r>
        <w:rPr>
          <w:rFonts w:ascii="Times New Roman" w:hAnsi="Times New Roman"/>
          <w:sz w:val="24"/>
          <w:szCs w:val="24"/>
        </w:rPr>
        <w:t xml:space="preserve">Adoption of a first-inventor-to-file system, which is </w:t>
      </w:r>
      <w:r w:rsidRPr="008D22ED">
        <w:rPr>
          <w:rFonts w:ascii="Times New Roman" w:hAnsi="Times New Roman"/>
          <w:sz w:val="24"/>
          <w:szCs w:val="24"/>
        </w:rPr>
        <w:t>more efficient and predictable</w:t>
      </w:r>
      <w:r>
        <w:rPr>
          <w:rFonts w:ascii="Times New Roman" w:hAnsi="Times New Roman"/>
          <w:sz w:val="24"/>
          <w:szCs w:val="24"/>
        </w:rPr>
        <w:t xml:space="preserve"> than the prior system.</w:t>
      </w:r>
    </w:p>
    <w:p w:rsidR="00306778" w:rsidRPr="006850C5" w:rsidRDefault="00306778" w:rsidP="00306778">
      <w:pPr>
        <w:rPr>
          <w:b/>
          <w:iCs/>
        </w:rPr>
      </w:pPr>
    </w:p>
    <w:p w:rsidR="00306778" w:rsidRPr="009576DE" w:rsidRDefault="00306778" w:rsidP="00306778"/>
    <w:p w:rsidR="00306778" w:rsidRDefault="00306778" w:rsidP="00306778">
      <w:pPr>
        <w:tabs>
          <w:tab w:val="left" w:pos="720"/>
        </w:tabs>
        <w:rPr>
          <w:b/>
          <w:bCs/>
        </w:rPr>
      </w:pPr>
    </w:p>
    <w:p w:rsidR="00306778" w:rsidRPr="008E2E58" w:rsidRDefault="00306778" w:rsidP="00306778">
      <w:pPr>
        <w:tabs>
          <w:tab w:val="left" w:pos="720"/>
        </w:tabs>
        <w:ind w:left="360" w:hanging="360"/>
        <w:rPr>
          <w:b/>
          <w:bCs/>
        </w:rPr>
      </w:pPr>
      <w:r w:rsidRPr="008E2E58">
        <w:rPr>
          <w:b/>
          <w:bCs/>
        </w:rPr>
        <w:t>C.</w:t>
      </w:r>
      <w:r w:rsidRPr="008E2E58">
        <w:rPr>
          <w:b/>
          <w:bCs/>
        </w:rPr>
        <w:tab/>
        <w:t>TRANSISTIONAL REVIEW UNDER SECTION 18 OF THE PROTOCOL ON THE ASSESSION OF THE PEOPLE’S REPUBLIC OF CHINA</w:t>
      </w:r>
    </w:p>
    <w:p w:rsidR="00306778" w:rsidRPr="009363FB"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In our intervention today, we will be addressing four general topics:</w:t>
      </w:r>
    </w:p>
    <w:p w:rsidR="00306778" w:rsidRDefault="00306778" w:rsidP="00404129">
      <w:pPr>
        <w:pStyle w:val="ListParagraph"/>
        <w:numPr>
          <w:ilvl w:val="0"/>
          <w:numId w:val="1"/>
        </w:numPr>
        <w:tabs>
          <w:tab w:val="left" w:pos="-1200"/>
          <w:tab w:val="left" w:pos="-720"/>
          <w:tab w:val="left" w:pos="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rPr>
          <w:rFonts w:ascii="Times New Roman" w:hAnsi="Times New Roman"/>
          <w:sz w:val="24"/>
          <w:szCs w:val="24"/>
        </w:rPr>
      </w:pPr>
      <w:r>
        <w:rPr>
          <w:rFonts w:ascii="Times New Roman" w:hAnsi="Times New Roman"/>
          <w:sz w:val="24"/>
          <w:szCs w:val="24"/>
        </w:rPr>
        <w:t>Implementation;</w:t>
      </w:r>
    </w:p>
    <w:p w:rsidR="00306778" w:rsidRDefault="00306778" w:rsidP="00404129">
      <w:pPr>
        <w:pStyle w:val="ListParagraph"/>
        <w:numPr>
          <w:ilvl w:val="0"/>
          <w:numId w:val="1"/>
        </w:numPr>
        <w:tabs>
          <w:tab w:val="left" w:pos="-1200"/>
          <w:tab w:val="left" w:pos="-720"/>
          <w:tab w:val="left" w:pos="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rPr>
          <w:rFonts w:ascii="Times New Roman" w:hAnsi="Times New Roman"/>
          <w:sz w:val="24"/>
          <w:szCs w:val="24"/>
        </w:rPr>
      </w:pPr>
      <w:r>
        <w:rPr>
          <w:rFonts w:ascii="Times New Roman" w:hAnsi="Times New Roman"/>
          <w:sz w:val="24"/>
          <w:szCs w:val="24"/>
        </w:rPr>
        <w:t>Enforcement;</w:t>
      </w:r>
    </w:p>
    <w:p w:rsidR="00306778" w:rsidRDefault="00306778" w:rsidP="00404129">
      <w:pPr>
        <w:pStyle w:val="ListParagraph"/>
        <w:numPr>
          <w:ilvl w:val="0"/>
          <w:numId w:val="1"/>
        </w:numPr>
        <w:tabs>
          <w:tab w:val="left" w:pos="-1200"/>
          <w:tab w:val="left" w:pos="-720"/>
          <w:tab w:val="left" w:pos="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rPr>
          <w:rFonts w:ascii="Times New Roman" w:hAnsi="Times New Roman"/>
          <w:sz w:val="24"/>
          <w:szCs w:val="24"/>
        </w:rPr>
      </w:pPr>
      <w:r>
        <w:rPr>
          <w:rFonts w:ascii="Times New Roman" w:hAnsi="Times New Roman"/>
          <w:sz w:val="24"/>
          <w:szCs w:val="24"/>
        </w:rPr>
        <w:t xml:space="preserve">The Special Campaign; and </w:t>
      </w:r>
    </w:p>
    <w:p w:rsidR="00404129" w:rsidRDefault="00306778" w:rsidP="00404129">
      <w:pPr>
        <w:pStyle w:val="ListParagraph"/>
        <w:numPr>
          <w:ilvl w:val="0"/>
          <w:numId w:val="1"/>
        </w:numPr>
        <w:tabs>
          <w:tab w:val="left" w:pos="-1200"/>
          <w:tab w:val="left" w:pos="-720"/>
          <w:tab w:val="left" w:pos="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rPr>
          <w:rFonts w:ascii="Times New Roman" w:hAnsi="Times New Roman"/>
          <w:sz w:val="24"/>
          <w:szCs w:val="24"/>
        </w:rPr>
      </w:pPr>
      <w:r>
        <w:rPr>
          <w:rFonts w:ascii="Times New Roman" w:hAnsi="Times New Roman"/>
          <w:sz w:val="24"/>
          <w:szCs w:val="24"/>
        </w:rPr>
        <w:t>Indigenous innovation.</w:t>
      </w:r>
    </w:p>
    <w:p w:rsidR="00306778" w:rsidRDefault="00306778" w:rsidP="00404129">
      <w:pPr>
        <w:pStyle w:val="ListParagraph"/>
        <w:tabs>
          <w:tab w:val="left" w:pos="-1200"/>
          <w:tab w:val="left" w:pos="-720"/>
          <w:tab w:val="left" w:pos="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ind w:left="360"/>
        <w:rPr>
          <w:rFonts w:ascii="Times New Roman" w:hAnsi="Times New Roman"/>
          <w:sz w:val="24"/>
          <w:szCs w:val="24"/>
        </w:rPr>
      </w:pPr>
    </w:p>
    <w:p w:rsidR="00306778" w:rsidRPr="00C25342" w:rsidRDefault="00306778" w:rsidP="00306778">
      <w:pPr>
        <w:tabs>
          <w:tab w:val="left" w:pos="-1200"/>
          <w:tab w:val="left" w:pos="-720"/>
          <w:tab w:val="left" w:pos="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We have provided a copy of our intervention at the back of the room.</w:t>
      </w:r>
    </w:p>
    <w:p w:rsidR="004978AD" w:rsidRDefault="004978AD"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As the Chair stated, we have now reached the final review in this Council under the TRM.</w:t>
      </w:r>
    </w:p>
    <w:p w:rsidR="00306778"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t>For this final TRM, the United States would like to share its observations on China’s first 10 years of WTO Membership.</w:t>
      </w:r>
    </w:p>
    <w:p w:rsidR="00306778"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As Members may recall, the TRM was created largely because China was invited to join the WTO before it had revised or adopted laws and regulations necessary to implement its WTO obligations, and because China was allowed a variety of transition periods before it had to implement certain WTO obligations.  The annual TRM meetings therefore provided Members with opportunities to review with China, in a multilateral setting, the efforts that China had taken to implement specific commitments made in its Protocol of Accession as well as the obligations that it had assumed under the many agreements that make up the WTO Agreement and its efforts to comply with those obligations.</w:t>
      </w:r>
    </w:p>
    <w:p w:rsidR="00306778" w:rsidRPr="009363FB"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 xml:space="preserve">As we look back on past transitional reviews, we can see that the focus of these reviews changed over time.  For the first five years of China’s WTO membership, the transitional reviews focused predominantly on the scheduled phase-in of key commitments that China had made in its Protocol of Accession.  However, once that phase-in period ended, the focus of the TRM shifted.  At that point, the transitional reviews focused more on China’s compliance with its full range of WTO obligations.  </w:t>
      </w:r>
    </w:p>
    <w:p w:rsidR="00306778" w:rsidRPr="009363FB"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 xml:space="preserve">During the initial phase-in period, China implemented a set of sweeping commitments, including reducing tariffs, eliminating non-tariff barriers identified in its working party report that denied national treatment and market access for goods and services imported from other WTO members, and making legal improvements in intellectual property rights (IPR) protections and in transparency.  These actions deepened China’s integration into the international trading system, facilitating and strengthening China’s rule of law and economic reform.  Trade and investment also expanded dramatically between China and its many trading partners.     </w:t>
      </w:r>
    </w:p>
    <w:p w:rsidR="00306778" w:rsidRPr="009363FB" w:rsidRDefault="00306778" w:rsidP="00306778">
      <w:pPr>
        <w:pStyle w:val="ListParagraph"/>
        <w:rPr>
          <w:rFonts w:ascii="Times New Roman" w:hAnsi="Times New Roman"/>
          <w:sz w:val="24"/>
          <w:szCs w:val="24"/>
        </w:rPr>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Since its accession to the WTO, China has put in place a framework of laws and regulations aimed at protecting the IPR of domestic and foreign right holders, as required by the TRIPS Agreement.  However, some critical reforms are still needed in a few areas, such as further improvement of China’s measures for the protection of copyrights and trademarks in the context of the Internet, correction of continuing deficiencies in China’s criminal IPR enforcement measures, and providing remuneration to authors for the broadcast of their works that occurred between 2001 and 2009, when China finally set forth default licensing rates for broadcasting recorded works.</w:t>
      </w:r>
    </w:p>
    <w:p w:rsidR="00306778" w:rsidRPr="009363FB" w:rsidRDefault="00306778" w:rsidP="00306778">
      <w:pPr>
        <w:pStyle w:val="ListParagraph"/>
        <w:rPr>
          <w:rFonts w:ascii="Times New Roman" w:hAnsi="Times New Roman"/>
          <w:sz w:val="24"/>
          <w:szCs w:val="24"/>
        </w:rPr>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 xml:space="preserve">Additionally, the United States continues to have concerns about the extent to which China provides effective protection against unfair commercial use and unauthorized disclosure of undisclosed test or other data generated to obtain marketing approval for pharmaceutical products.  In its Protocol of Accession, China agreed to provide six years of protection against unfair commercial use to undisclosed test or other data submitted to authorities in support of applications for marketing approval of pharmaceutical and agricultural chemical products which utilize new chemical entities.  This protection would prevent any person other than the original applicant from relying on the submitted data for subsequent approvals for at least six years from marketing approval of the original product.  Examples of marketing approval granted to applications for follow-on products prior to the expiration of the six-year period, and in some cases before approval of the originator product, indicate that further work needs to be done to ensure consistent and effective application of this obligation.  The United States looks forward to continuing to work with China on this and related matters. </w:t>
      </w:r>
    </w:p>
    <w:p w:rsidR="00306778" w:rsidRPr="009363FB"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C25342"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C25342">
        <w:t xml:space="preserve">While China’s laws on the books have been extensively overhauled to better reflect international standards for IPR protection, the inability or lack of political will in China to enforce these laws and to deter continued IP theft has led to sustained and unacceptably high levels of retail and wholesale counterfeiting, online piracy, and software theft, with severe adverse effects in the United States and third-country markets to which Chinese IPR infringing goods are exported.  Widespread IPR infringement continues to affect products, brands, and technologies of a wide range of industries, including movies, music, publishing, entertainment and business software, apparel, athletic footwear, textile fabrics and floor coverings, consumer goods, chemicals, electrical equipment, industrial products, information technology, and clean energy technology, among many others.   </w:t>
      </w:r>
    </w:p>
    <w:p w:rsidR="00306778" w:rsidRPr="009363FB" w:rsidRDefault="00306778" w:rsidP="00306778">
      <w:pPr>
        <w:pStyle w:val="ListParagraph"/>
        <w:rPr>
          <w:rFonts w:ascii="Times New Roman" w:hAnsi="Times New Roman"/>
          <w:sz w:val="24"/>
          <w:szCs w:val="24"/>
        </w:rPr>
      </w:pP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uto"/>
      </w:pPr>
      <w:r w:rsidRPr="00F22B8F">
        <w:t>There also continue to be a number of legal obstacles to effective enforcement that result in limited deterrence under Chinese law.  These impediments include high value and volume thresholds that must be met before IPR infringement may be subject to criminal prosecution.  Rules designed to promote the transfer of cases to criminal authorities do not appear to have solved the problem.  Moreover, the vast majority of enforcement in China is channeled to administrative authorities, where administrative penalties are too low and unpredictably awarded to provide an effective deterrent; and infringers continue to consider administrative seizures and fines as simply a cost of doing business.  In addition, IPR enforcement at the local level is hampered by poor coordination among Chinese Government ministries and agencies, the aforementioned high thresholds for initiating investigations and prosecuting criminal cases, lack of training, inadequate and non-transparent processes, local protectionism, and, in some cases, corruption.</w:t>
      </w:r>
    </w:p>
    <w:p w:rsidR="00306778" w:rsidRPr="009363FB" w:rsidRDefault="00306778" w:rsidP="00306778">
      <w:pPr>
        <w:pStyle w:val="ListParagraph"/>
        <w:rPr>
          <w:rFonts w:ascii="Times New Roman" w:hAnsi="Times New Roman"/>
          <w:sz w:val="24"/>
          <w:szCs w:val="24"/>
        </w:rPr>
      </w:pPr>
    </w:p>
    <w:p w:rsidR="00306778" w:rsidRPr="00F22B8F" w:rsidRDefault="00306778" w:rsidP="00306778">
      <w:pPr>
        <w:jc w:val="both"/>
      </w:pPr>
      <w:r w:rsidRPr="00F22B8F">
        <w:t>However, the United States is encouraged by events in China in the past year to focus efforts on improving IPR enforcement in China.  The United States has been following closely the efforts being made under China’s “Special Campaign on Combating IPR Infringement and Manufacture and Sales of Counterfeiting and Shoddy Commodities” (Special Campaign), and believes that the new coordination and leadership structure developed for the Special Campaign has enhanced the effectiveness of IPR enforcement during the period of the Special Campaign.  The United States urges China to create a high-level management team that can drive lasting improvements in IPR enforcement by making permanent the temporary leadership structure created to manage the Special Campaign, including the key role of the Vice Premier.  Institutionalizing this structure would give greater credibility to China’s efforts to make a sustained, long-term improvement in IPR enforcement.</w:t>
      </w:r>
    </w:p>
    <w:p w:rsidR="00306778" w:rsidRPr="009363FB" w:rsidRDefault="00306778" w:rsidP="00306778">
      <w:pPr>
        <w:pStyle w:val="ListParagraph"/>
        <w:rPr>
          <w:rFonts w:ascii="Times New Roman" w:hAnsi="Times New Roman"/>
          <w:sz w:val="24"/>
          <w:szCs w:val="24"/>
        </w:rPr>
      </w:pPr>
    </w:p>
    <w:p w:rsidR="00306778" w:rsidRPr="00F22B8F" w:rsidRDefault="00306778" w:rsidP="00306778">
      <w:r w:rsidRPr="00F22B8F">
        <w:t xml:space="preserve">The United States understands that as a result of the Special Campaign, several websites and online portals were shut down, and three website operators were arrested, convicted, and sentenced to prison terms and assessed significant fines.  The United States urges China to sustain its work on stemming piracy over the Internet.  With respect to use of the Internet to distribute counterfeits, the United States notes several positive developments that have occurred in the past year, including new measures issued by the State Administration of Industry and Commerce that require Internet Service Providers to verify the identity of online traders and to take “necessary measures to protect registered trademarks.”  The United States also finds encouraging reports indicating that local Administrations of Industry and Commerce (AICs) have demonstrated greater willingness to intervene directly against online advertisements of counterfeit and pirated products, previously a rare occurrence.  </w:t>
      </w:r>
    </w:p>
    <w:p w:rsidR="00306778" w:rsidRPr="009363FB" w:rsidRDefault="00306778" w:rsidP="00306778">
      <w:pPr>
        <w:pStyle w:val="ListParagraph"/>
        <w:rPr>
          <w:rFonts w:ascii="Times New Roman" w:hAnsi="Times New Roman"/>
          <w:sz w:val="24"/>
          <w:szCs w:val="24"/>
        </w:rPr>
      </w:pPr>
    </w:p>
    <w:p w:rsidR="00306778" w:rsidRPr="00F22B8F" w:rsidRDefault="00306778" w:rsidP="00306778">
      <w:r w:rsidRPr="00F22B8F">
        <w:t xml:space="preserve">To effectively stem the manufacture of counterfeits, the United States urges the Chinese Government to ensure that the equipment used to manufacture counterfeit products is seized and destroyed.  If such equipment is not seized and destroyed, counterfeiters can resume their operations as soon as law enforcement officers leave their premises.  It is also important for China to permit direct acceptance of serious IPR infringement cases by the Public Security Bureau (PSB); while administrative agencies such as the local AICs can seize counterfeits, only PSB has the power to search and arrest.  Following on the Special Campaign, the PSB should be given the authority to directly accept all cases involving manufacturers of counterfeit and pirated products.  </w:t>
      </w:r>
    </w:p>
    <w:p w:rsidR="00306778" w:rsidRPr="009363FB" w:rsidRDefault="00306778" w:rsidP="00306778">
      <w:pPr>
        <w:pStyle w:val="ListParagraph"/>
        <w:rPr>
          <w:rFonts w:ascii="Times New Roman" w:hAnsi="Times New Roman"/>
          <w:sz w:val="24"/>
          <w:szCs w:val="24"/>
        </w:rPr>
      </w:pP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F22B8F">
        <w:t>In addition to the need for significant further progress to fight counterfeiting and piracy, effective enforcement of IPR in China also requires attention to the protection and enforcement of patents, trade secrets, and other IP rights.  For example, the United States is troubled by several recent media reports of major cases of trade secret theft affecting U.S. firms doing business in China.  The United States also remains concerned about the enforcement implications of a range of challenges affecting patent quality in China.  Patents that are of low quality, or unexamined, or both, can pose obstacles to Chinese and foreign innovators who seek to protect and enforce rights in legitimate inventions.  Effective enforcement of patents and trade secrets is not only key to the success of foreign companies; it is an essential part of the business climate needed to support investment from the kind of innovative industries that China hopes to attract and build.</w:t>
      </w:r>
    </w:p>
    <w:p w:rsidR="00306778" w:rsidRPr="009363FB"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9363FB">
        <w:t xml:space="preserve"> </w:t>
      </w: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F22B8F">
        <w:t xml:space="preserve">China’s goal of becoming an innovative society by fostering “indigenous innovation” has created a troubling trend toward increased discriminatory policies aimed at coercing technology transfer.    </w:t>
      </w:r>
    </w:p>
    <w:p w:rsidR="00306778" w:rsidRPr="009363FB" w:rsidRDefault="00306778" w:rsidP="00306778">
      <w:pPr>
        <w:pStyle w:val="ListParagraph"/>
        <w:rPr>
          <w:rFonts w:ascii="Times New Roman" w:hAnsi="Times New Roman"/>
          <w:sz w:val="24"/>
          <w:szCs w:val="24"/>
        </w:rPr>
      </w:pP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F22B8F">
        <w:t>The United States recognizes the critical role of innovation in development and in improving living standards in the United States and China.  However, the United States has also expressed concerns to China regarding its innovation-related policies and other industrial policies that discriminate against or otherwise disadvantage U.S. exports or U.S. investors and their investments.  The United States has been following the development of China’s indigenous innovation and other intellectual property-related industrial policies and is paying particularly close attention to China’s policies that require or compel U.S. parties to transfer their IPR to Chinese parties or to Chinese subsidiaries of U.S. firms.  Chinese regulations, rules and other regulatory measures frequently call for technology transfer, and in certain cases, condition, or propose to condition, eligibility for government benefits or preferences on intellectual property being owned or developed in China, or being licensed, in some cases exclusively, to a Chinese party.</w:t>
      </w:r>
    </w:p>
    <w:p w:rsidR="00306778" w:rsidRPr="009363FB" w:rsidRDefault="00306778" w:rsidP="00306778">
      <w:pPr>
        <w:pStyle w:val="ListParagraph"/>
        <w:rPr>
          <w:rFonts w:ascii="Times New Roman" w:hAnsi="Times New Roman"/>
          <w:sz w:val="24"/>
          <w:szCs w:val="24"/>
        </w:rPr>
      </w:pP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F22B8F">
        <w:t>Innovation will produce greater societal and global gains when market participants, irrespective of their nationality or the places where they may own or develop intellectual property, are able to enjoy the fruits of their investments without the danger that their efforts, including in developing and commercializing intellectual property, will be undermined, or misappropriated by others who did not undertake the initial risks associated with development and commercialization.  The United States encourages China to adopt policies that eliminate improper government intervention in intellectual property licensing and other lawful contractual business arrangements, as well as standards setting, and that welcome imported products and services and foreign investments without ownership and other restrictions in China, irrespective of where the relevant intellectual property is owned or has been developed.</w:t>
      </w:r>
    </w:p>
    <w:p w:rsidR="00306778" w:rsidRPr="009363FB"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F22B8F">
        <w:t xml:space="preserve">In conclusion, as we consider developments over the past 10 years relating to the protection, enforcement and treatment of IPR and look toward the future, the United States notes that China’s legal framework for the protection and enforcement of IPR has been improved, but there are still many areas where further improvements are required.  While there is a growing awareness in China of the critical role of IPR protection and enforcement to China’s </w:t>
      </w:r>
      <w:r w:rsidR="00404129" w:rsidRPr="00F22B8F">
        <w:t>long-term</w:t>
      </w:r>
      <w:r w:rsidRPr="00F22B8F">
        <w:t xml:space="preserve"> economic development, it is important that this awareness be translated into sustained efforts to protect and enforce IPR of both domestic and foreign right holders.  It is equally important that China’s desire to develop an innovative and IP intensive economy not drive policies that discriminate against foreign IPR holders, either by according preferences to firms with indigenous IPR and thereby limiting participation by foreign IPR holders, or by implementing government policies to compel technology transfers and other arrangements relating to the terms and conditions of IPR licenses, which should instead be left to the commercial considerations of the parties without undue government interference.</w:t>
      </w:r>
    </w:p>
    <w:p w:rsidR="00306778" w:rsidRPr="009363FB" w:rsidRDefault="00306778" w:rsidP="00306778">
      <w:pPr>
        <w:widowControl/>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line="236" w:lineRule="auto"/>
        <w:rPr>
          <w:rFonts w:eastAsia="Calibri"/>
        </w:rPr>
      </w:pPr>
    </w:p>
    <w:p w:rsidR="00306778" w:rsidRPr="00F22B8F" w:rsidRDefault="00306778" w:rsidP="00306778">
      <w:pPr>
        <w:tabs>
          <w:tab w:val="left" w:pos="-1200"/>
          <w:tab w:val="left" w:pos="-720"/>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6" w:lineRule="auto"/>
      </w:pPr>
      <w:r w:rsidRPr="00F22B8F">
        <w:t>Going forward, the United States will continue its work with China, both bilaterally and here at the WTO, on IPR protection and enforcement strategies, innovation policies, and the range of other important IPR-related matters to ensure that China fully complies with its WTO obligations, to the benefit of the United States, China and their trading partners.</w:t>
      </w:r>
    </w:p>
    <w:p w:rsidR="00306778" w:rsidRDefault="00306778" w:rsidP="00306778">
      <w:pPr>
        <w:tabs>
          <w:tab w:val="left" w:pos="720"/>
        </w:tabs>
        <w:rPr>
          <w:b/>
          <w:bCs/>
        </w:rPr>
      </w:pPr>
    </w:p>
    <w:p w:rsidR="00306778" w:rsidRPr="009576DE" w:rsidRDefault="00306778" w:rsidP="00306778">
      <w:pPr>
        <w:tabs>
          <w:tab w:val="left" w:pos="720"/>
        </w:tabs>
        <w:rPr>
          <w:b/>
          <w:bCs/>
        </w:rPr>
      </w:pPr>
    </w:p>
    <w:p w:rsidR="00306778" w:rsidRPr="009576DE" w:rsidRDefault="00306778" w:rsidP="00306778">
      <w:pPr>
        <w:ind w:left="720" w:hanging="720"/>
        <w:rPr>
          <w:b/>
        </w:rPr>
      </w:pPr>
      <w:r>
        <w:rPr>
          <w:b/>
        </w:rPr>
        <w:t>D</w:t>
      </w:r>
      <w:r w:rsidRPr="009576DE">
        <w:rPr>
          <w:b/>
        </w:rPr>
        <w:t>.</w:t>
      </w:r>
      <w:r w:rsidRPr="009576DE">
        <w:rPr>
          <w:b/>
        </w:rPr>
        <w:tab/>
        <w:t>REVIEW OF THE PROVISIONS OF ARTICLE 27.3(B)</w:t>
      </w:r>
    </w:p>
    <w:p w:rsidR="00306778" w:rsidRPr="009576DE" w:rsidRDefault="00306778" w:rsidP="00306778">
      <w:pPr>
        <w:ind w:left="720" w:hanging="720"/>
        <w:rPr>
          <w:b/>
        </w:rPr>
      </w:pPr>
      <w:r>
        <w:rPr>
          <w:b/>
        </w:rPr>
        <w:t>E</w:t>
      </w:r>
      <w:r w:rsidRPr="009576DE">
        <w:rPr>
          <w:b/>
        </w:rPr>
        <w:t>.</w:t>
      </w:r>
      <w:r w:rsidRPr="009576DE">
        <w:rPr>
          <w:b/>
        </w:rPr>
        <w:tab/>
        <w:t>RELATIONSHIP BETWEEN THE TRIPS AGREEMENT AND THE CONVENTION ON BIOLOGICAL DIVERSITY</w:t>
      </w:r>
    </w:p>
    <w:p w:rsidR="00306778" w:rsidRPr="009576DE" w:rsidRDefault="00306778" w:rsidP="00306778">
      <w:pPr>
        <w:rPr>
          <w:b/>
        </w:rPr>
      </w:pPr>
      <w:r>
        <w:rPr>
          <w:b/>
        </w:rPr>
        <w:t>F</w:t>
      </w:r>
      <w:r w:rsidRPr="009576DE">
        <w:rPr>
          <w:b/>
        </w:rPr>
        <w:t>.</w:t>
      </w:r>
      <w:r w:rsidRPr="009576DE">
        <w:rPr>
          <w:b/>
        </w:rPr>
        <w:tab/>
        <w:t>PROTECTION OF TRADITIONAL KNOWLEDGE AND FOLKLORE</w:t>
      </w:r>
    </w:p>
    <w:p w:rsidR="00306778" w:rsidRPr="009576DE" w:rsidRDefault="00306778" w:rsidP="00306778">
      <w:pPr>
        <w:rPr>
          <w:b/>
          <w:bCs/>
          <w:u w:val="single"/>
        </w:rPr>
      </w:pPr>
    </w:p>
    <w:p w:rsidR="00306778" w:rsidRPr="009576DE" w:rsidRDefault="00306778" w:rsidP="00306778">
      <w:pPr>
        <w:rPr>
          <w:bCs/>
        </w:rPr>
      </w:pPr>
    </w:p>
    <w:p w:rsidR="00306778" w:rsidRPr="00F22B8F" w:rsidRDefault="00306778" w:rsidP="00306778">
      <w:pPr>
        <w:rPr>
          <w:bCs/>
        </w:rPr>
      </w:pPr>
      <w:r w:rsidRPr="00F22B8F">
        <w:rPr>
          <w:bCs/>
        </w:rPr>
        <w:t>Under items D, E and F, we want to focus on a specific issue raised in the June meeting of the TRIPS Council.  In that meeting, the Government of Switzerland posed a number of questions regarding a contractual approach to access and benefit sharing.</w:t>
      </w:r>
    </w:p>
    <w:p w:rsidR="00306778" w:rsidRDefault="00306778" w:rsidP="00306778">
      <w:pPr>
        <w:rPr>
          <w:bCs/>
        </w:rPr>
      </w:pPr>
    </w:p>
    <w:p w:rsidR="00306778" w:rsidRPr="00F22B8F" w:rsidRDefault="00306778" w:rsidP="00306778">
      <w:pPr>
        <w:rPr>
          <w:bCs/>
        </w:rPr>
      </w:pPr>
      <w:r w:rsidRPr="00F22B8F">
        <w:rPr>
          <w:bCs/>
        </w:rPr>
        <w:t>We thank the Government of Switzerland for their interest in this pragmatic means to address the need for transparency and to support appropriate access and benefit sharing.</w:t>
      </w:r>
    </w:p>
    <w:p w:rsidR="00306778" w:rsidRDefault="00306778" w:rsidP="00306778">
      <w:pPr>
        <w:rPr>
          <w:bCs/>
        </w:rPr>
      </w:pPr>
    </w:p>
    <w:p w:rsidR="00306778" w:rsidRPr="00F22B8F" w:rsidRDefault="00306778" w:rsidP="00306778">
      <w:pPr>
        <w:rPr>
          <w:bCs/>
        </w:rPr>
      </w:pPr>
      <w:r w:rsidRPr="00F22B8F">
        <w:rPr>
          <w:bCs/>
        </w:rPr>
        <w:t>In the</w:t>
      </w:r>
      <w:r>
        <w:rPr>
          <w:bCs/>
        </w:rPr>
        <w:t xml:space="preserve"> interest of time, we refer dele</w:t>
      </w:r>
      <w:r w:rsidRPr="00F22B8F">
        <w:rPr>
          <w:bCs/>
        </w:rPr>
        <w:t>gates to our answers found in paragraphs 99 – 101 of Document IP/C/M/49 (31 January 2006).</w:t>
      </w:r>
    </w:p>
    <w:p w:rsidR="00306778" w:rsidRPr="00381831" w:rsidRDefault="00306778" w:rsidP="00306778">
      <w:pPr>
        <w:rPr>
          <w:bCs/>
        </w:rPr>
      </w:pPr>
    </w:p>
    <w:p w:rsidR="00306778" w:rsidRPr="00F22B8F" w:rsidRDefault="00306778" w:rsidP="00306778">
      <w:pPr>
        <w:rPr>
          <w:bCs/>
        </w:rPr>
      </w:pPr>
      <w:r w:rsidRPr="00F22B8F">
        <w:rPr>
          <w:bCs/>
        </w:rPr>
        <w:t xml:space="preserve">As to the specific question of how the contract approach would address the need for transparency in access and benefit sharing, I note that certain agreements can be made available to the public.  </w:t>
      </w:r>
    </w:p>
    <w:p w:rsidR="00306778" w:rsidRDefault="00306778" w:rsidP="00306778">
      <w:pPr>
        <w:rPr>
          <w:bCs/>
        </w:rPr>
      </w:pPr>
    </w:p>
    <w:p w:rsidR="00306778" w:rsidRPr="00F22B8F" w:rsidRDefault="00306778" w:rsidP="00306778">
      <w:pPr>
        <w:rPr>
          <w:bCs/>
        </w:rPr>
      </w:pPr>
      <w:r w:rsidRPr="00F22B8F">
        <w:rPr>
          <w:bCs/>
        </w:rPr>
        <w:t xml:space="preserve">For example, the US National Park Service encourages research in the national parks, and may negotiate a benefit sharing agreement with bioprospectors.  Information about areas where research needs have been identified, and which permits have </w:t>
      </w:r>
      <w:r w:rsidR="00404129" w:rsidRPr="00F22B8F">
        <w:rPr>
          <w:bCs/>
        </w:rPr>
        <w:t>been issued</w:t>
      </w:r>
      <w:r w:rsidRPr="00F22B8F">
        <w:rPr>
          <w:bCs/>
        </w:rPr>
        <w:t xml:space="preserve">, are posted on the National Park Service website.  </w:t>
      </w:r>
      <w:hyperlink r:id="rId7" w:history="1">
        <w:r w:rsidRPr="00F22B8F">
          <w:rPr>
            <w:rStyle w:val="Hyperlink"/>
            <w:bCs/>
          </w:rPr>
          <w:t>https://science.nature.nps.gov/research/ac/ResearchIndex</w:t>
        </w:r>
      </w:hyperlink>
    </w:p>
    <w:p w:rsidR="00306778" w:rsidRDefault="00306778" w:rsidP="00306778">
      <w:pPr>
        <w:rPr>
          <w:bCs/>
        </w:rPr>
      </w:pPr>
    </w:p>
    <w:p w:rsidR="00306778" w:rsidRPr="00F22B8F" w:rsidRDefault="00306778" w:rsidP="00306778">
      <w:pPr>
        <w:rPr>
          <w:bCs/>
        </w:rPr>
      </w:pPr>
      <w:r w:rsidRPr="00F22B8F">
        <w:rPr>
          <w:bCs/>
        </w:rPr>
        <w:t>By posting where the National Park Service is encouraging research and information about granted permits, the contract based approach of the US government provides transparency.</w:t>
      </w:r>
    </w:p>
    <w:p w:rsidR="00306778" w:rsidRDefault="00306778" w:rsidP="00306778">
      <w:pPr>
        <w:rPr>
          <w:bCs/>
        </w:rPr>
      </w:pPr>
    </w:p>
    <w:p w:rsidR="00306778" w:rsidRPr="00F22B8F" w:rsidRDefault="00306778" w:rsidP="00306778">
      <w:pPr>
        <w:rPr>
          <w:bCs/>
        </w:rPr>
      </w:pPr>
      <w:r w:rsidRPr="00F22B8F">
        <w:rPr>
          <w:bCs/>
        </w:rPr>
        <w:t>As to the request for the CBD Secretariat to make a presentation on the Nagoya Protocol, we do not feel that this would be appropriate.</w:t>
      </w:r>
    </w:p>
    <w:p w:rsidR="00306778" w:rsidRDefault="00306778" w:rsidP="00306778">
      <w:pPr>
        <w:rPr>
          <w:bCs/>
        </w:rPr>
      </w:pPr>
    </w:p>
    <w:p w:rsidR="00306778" w:rsidRPr="00F22B8F" w:rsidRDefault="00306778" w:rsidP="00306778">
      <w:pPr>
        <w:rPr>
          <w:bCs/>
        </w:rPr>
      </w:pPr>
      <w:r w:rsidRPr="00F22B8F">
        <w:rPr>
          <w:bCs/>
        </w:rPr>
        <w:t>The Nagoya Protocol has 65 signatories, but will only enter into force 90 days after deposit of the fiftieth instrument of ratification.</w:t>
      </w:r>
    </w:p>
    <w:p w:rsidR="00306778" w:rsidRDefault="00306778" w:rsidP="00306778">
      <w:pPr>
        <w:rPr>
          <w:bCs/>
        </w:rPr>
      </w:pPr>
    </w:p>
    <w:p w:rsidR="00306778" w:rsidRPr="00F22B8F" w:rsidRDefault="00306778" w:rsidP="00306778">
      <w:pPr>
        <w:rPr>
          <w:bCs/>
        </w:rPr>
      </w:pPr>
      <w:r w:rsidRPr="00F22B8F">
        <w:rPr>
          <w:bCs/>
        </w:rPr>
        <w:t xml:space="preserve">No countries have yet deposited an instrument of ratification.  </w:t>
      </w:r>
    </w:p>
    <w:p w:rsidR="00306778" w:rsidRDefault="00306778" w:rsidP="00306778">
      <w:pPr>
        <w:rPr>
          <w:bCs/>
        </w:rPr>
      </w:pPr>
    </w:p>
    <w:p w:rsidR="00306778" w:rsidRPr="00F22B8F" w:rsidRDefault="00306778" w:rsidP="00306778">
      <w:pPr>
        <w:rPr>
          <w:bCs/>
        </w:rPr>
      </w:pPr>
      <w:r w:rsidRPr="00F22B8F">
        <w:rPr>
          <w:bCs/>
        </w:rPr>
        <w:t xml:space="preserve">The eleventh meeting of the Conference of the Parties of the CBD will take place in India from 8 to 19 October </w:t>
      </w:r>
      <w:r w:rsidRPr="004978AD">
        <w:rPr>
          <w:bCs/>
        </w:rPr>
        <w:t>2012</w:t>
      </w:r>
      <w:r w:rsidRPr="00F22B8F">
        <w:rPr>
          <w:bCs/>
        </w:rPr>
        <w:t>, and is the target for convening the Nagoya Protocol’s first meeting of the Parties.</w:t>
      </w:r>
    </w:p>
    <w:p w:rsidR="00306778" w:rsidRDefault="00306778" w:rsidP="00306778">
      <w:pPr>
        <w:rPr>
          <w:bCs/>
        </w:rPr>
      </w:pPr>
    </w:p>
    <w:p w:rsidR="00306778" w:rsidRPr="00F22B8F" w:rsidRDefault="00306778" w:rsidP="00306778">
      <w:pPr>
        <w:rPr>
          <w:bCs/>
        </w:rPr>
      </w:pPr>
      <w:r w:rsidRPr="00F22B8F">
        <w:rPr>
          <w:bCs/>
        </w:rPr>
        <w:t>We are confident that next year the Government of India can, like Japan has done previously in this body, provide an excellent explanation of the recent work of CBD members in that forum.</w:t>
      </w:r>
    </w:p>
    <w:p w:rsidR="00306778" w:rsidRPr="009576DE" w:rsidRDefault="00306778" w:rsidP="00306778">
      <w:pPr>
        <w:ind w:left="720"/>
        <w:rPr>
          <w:bCs/>
        </w:rPr>
      </w:pPr>
    </w:p>
    <w:p w:rsidR="00306778" w:rsidRPr="00F22B8F" w:rsidRDefault="00306778" w:rsidP="00306778">
      <w:pPr>
        <w:rPr>
          <w:b/>
          <w:bCs/>
          <w:u w:val="single"/>
        </w:rPr>
      </w:pPr>
      <w:r w:rsidRPr="009576DE">
        <w:rPr>
          <w:b/>
          <w:bCs/>
        </w:rPr>
        <w:tab/>
      </w:r>
    </w:p>
    <w:p w:rsidR="00306778" w:rsidRDefault="00306778" w:rsidP="00306778">
      <w:pPr>
        <w:ind w:left="720" w:hanging="720"/>
        <w:rPr>
          <w:b/>
        </w:rPr>
      </w:pPr>
      <w:r>
        <w:rPr>
          <w:b/>
        </w:rPr>
        <w:t>G.</w:t>
      </w:r>
      <w:r>
        <w:rPr>
          <w:b/>
        </w:rPr>
        <w:tab/>
        <w:t>REVIEW UNDER PARAGRAPH 8 OF THE DECISION ON THE IMPLEMENTATION OF PARAGRAPH 6 OF THE DOHA DECLARATION ON THE TRIPS AGREEMENT AND PUBLIC HEALTH</w:t>
      </w:r>
    </w:p>
    <w:p w:rsidR="00306778" w:rsidRDefault="00306778" w:rsidP="00306778"/>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 xml:space="preserve">We </w:t>
      </w:r>
      <w:r>
        <w:t xml:space="preserve">welcome the opportunity </w:t>
      </w:r>
      <w:r w:rsidRPr="008D22ED">
        <w:t>to participate in the annual review on the implementation of paragraph 6 of the Doha Declaration</w:t>
      </w:r>
      <w:r>
        <w:t xml:space="preserve"> on the TRIPS Agreement and Public Health</w:t>
      </w:r>
      <w:r w:rsidRPr="008D22ED">
        <w:t xml:space="preserve">.  </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 xml:space="preserve">The United States strongly supported the General Council’s decision of August 2003 to implement the Doha Declaration on TRIPS and Public Health to allow drugs to be exported under a compulsory license under the terms set out in that decision and the accompanying Chairman’s Statement.  The United States also lent strong support to the General Council’s Decision of December 6, 2005 to amend the TRIPS Agreement and make permanent the system and appropriately preserve reference to the Chairman’s Statement.  In fact, the United States was the first Member to notify its acceptance of the amendment.  </w:t>
      </w:r>
    </w:p>
    <w:p w:rsidR="00306778"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We welcome those Members who have notified their acceptance.  Here I note that those Members are developed, developing and least developed country Members.  Some are pharmaceutical producers, but most are not.  We encourage other Members to notify their acceptance of the amendment so that the amendment can enter into force.</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 xml:space="preserve">The paragraph 6 system is intended to be one tool to assist in promoting access to medicines and provides an important failsafe in our work to improve access to medicines.  This safety valve is, however, only one tool to address the larger issue of access to medicines.  </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 xml:space="preserve">In recent years, in our discussions with stakeholders across the spectrum, we have consistently heard that the issue of access to medicines is being addressed by other means.   </w:t>
      </w:r>
    </w:p>
    <w:p w:rsidR="00306778" w:rsidRDefault="00306778" w:rsidP="00306778"/>
    <w:p w:rsidR="00306778" w:rsidRPr="008E2956"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The United States has been actively working to address these factors that have been shown to reduce </w:t>
      </w:r>
      <w:r w:rsidRPr="008E2956">
        <w:t>access to safe and effective medicines, including ways to deploy the tools of trade policy to promote trade in, and reduce obstacles to, access to both innovative and generic medicines, while supporting the innovation and intellectual property protection that is vital to developing new medicines and achieving other medical breakthroughs.</w:t>
      </w:r>
    </w:p>
    <w:p w:rsidR="00306778" w:rsidRPr="008E2956"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4E6048"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4E6048">
        <w:t>These tools include:</w:t>
      </w:r>
    </w:p>
    <w:p w:rsidR="00306778" w:rsidRPr="004E6048"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4E6048" w:rsidRDefault="00306778" w:rsidP="004978AD">
      <w:pPr>
        <w:pStyle w:val="ListParagraph"/>
        <w:numPr>
          <w:ilvl w:val="0"/>
          <w:numId w:val="3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4E6048">
        <w:rPr>
          <w:rFonts w:ascii="Times New Roman" w:hAnsi="Times New Roman"/>
          <w:b/>
          <w:bCs/>
          <w:sz w:val="24"/>
          <w:szCs w:val="24"/>
        </w:rPr>
        <w:t>Enhancing legal certainty for manufacturers of generic medicines</w:t>
      </w:r>
      <w:r w:rsidRPr="004E6048">
        <w:rPr>
          <w:rFonts w:ascii="Times New Roman" w:hAnsi="Times New Roman"/>
          <w:sz w:val="24"/>
          <w:szCs w:val="24"/>
        </w:rPr>
        <w:t>;</w:t>
      </w:r>
      <w:r w:rsidRPr="004E6048">
        <w:rPr>
          <w:rFonts w:ascii="Times New Roman" w:hAnsi="Times New Roman"/>
          <w:sz w:val="24"/>
          <w:szCs w:val="24"/>
        </w:rPr>
        <w:br/>
      </w:r>
    </w:p>
    <w:p w:rsidR="00306778" w:rsidRPr="004E6048" w:rsidRDefault="00306778" w:rsidP="00306778">
      <w:pPr>
        <w:pStyle w:val="ListParagraph"/>
        <w:numPr>
          <w:ilvl w:val="0"/>
          <w:numId w:val="3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4E6048">
        <w:rPr>
          <w:rFonts w:ascii="Times New Roman" w:hAnsi="Times New Roman"/>
          <w:b/>
          <w:bCs/>
          <w:sz w:val="24"/>
          <w:szCs w:val="24"/>
        </w:rPr>
        <w:t xml:space="preserve">Eliminating tariffs on medicines: </w:t>
      </w:r>
      <w:r w:rsidRPr="004E6048">
        <w:rPr>
          <w:rFonts w:ascii="Times New Roman" w:hAnsi="Times New Roman"/>
          <w:bCs/>
          <w:sz w:val="24"/>
          <w:szCs w:val="24"/>
        </w:rPr>
        <w:t>E</w:t>
      </w:r>
      <w:r w:rsidRPr="004E6048">
        <w:rPr>
          <w:rFonts w:ascii="Times New Roman" w:hAnsi="Times New Roman"/>
          <w:sz w:val="24"/>
          <w:szCs w:val="24"/>
        </w:rPr>
        <w:t>liminate duties on medicines and medical devices, thereby decreasing costs for hospitals, clinics, aid organizations and consumers, among others;</w:t>
      </w:r>
      <w:r w:rsidRPr="004E6048">
        <w:rPr>
          <w:rFonts w:ascii="Times New Roman" w:hAnsi="Times New Roman"/>
          <w:sz w:val="24"/>
          <w:szCs w:val="24"/>
        </w:rPr>
        <w:br/>
      </w:r>
    </w:p>
    <w:p w:rsidR="00306778" w:rsidRPr="004978AD" w:rsidRDefault="00306778" w:rsidP="004978AD">
      <w:pPr>
        <w:pStyle w:val="ListParagraph"/>
        <w:numPr>
          <w:ilvl w:val="0"/>
          <w:numId w:val="3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4E6048">
        <w:rPr>
          <w:rFonts w:ascii="Times New Roman" w:hAnsi="Times New Roman"/>
          <w:b/>
          <w:bCs/>
          <w:sz w:val="24"/>
          <w:szCs w:val="24"/>
        </w:rPr>
        <w:t xml:space="preserve">Reducing customs obstacles to medicines: </w:t>
      </w:r>
      <w:r w:rsidRPr="004E6048">
        <w:rPr>
          <w:rFonts w:ascii="Times New Roman" w:hAnsi="Times New Roman"/>
          <w:sz w:val="24"/>
          <w:szCs w:val="24"/>
        </w:rPr>
        <w:t>Minimize import barriers, such as</w:t>
      </w:r>
      <w:r w:rsidR="004978AD">
        <w:rPr>
          <w:rFonts w:ascii="Times New Roman" w:hAnsi="Times New Roman"/>
          <w:sz w:val="24"/>
          <w:szCs w:val="24"/>
        </w:rPr>
        <w:t xml:space="preserve"> </w:t>
      </w:r>
      <w:r w:rsidRPr="004E6048">
        <w:t>discriminatory, burdensome, and unpredictable customs procedures, that impede access</w:t>
      </w:r>
      <w:r w:rsidR="004978AD">
        <w:t xml:space="preserve"> </w:t>
      </w:r>
      <w:r w:rsidRPr="004E6048">
        <w:t>to innovative and generic medicines;</w:t>
      </w:r>
    </w:p>
    <w:p w:rsidR="00306778" w:rsidRPr="004E6048" w:rsidRDefault="00306778" w:rsidP="00306778">
      <w:pPr>
        <w:widowControl/>
        <w:ind w:firstLine="720"/>
      </w:pPr>
    </w:p>
    <w:p w:rsidR="00306778" w:rsidRPr="004978AD" w:rsidRDefault="00306778" w:rsidP="004978AD">
      <w:pPr>
        <w:pStyle w:val="ListParagraph"/>
        <w:numPr>
          <w:ilvl w:val="0"/>
          <w:numId w:val="3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4E6048">
        <w:rPr>
          <w:rFonts w:ascii="Times New Roman" w:hAnsi="Times New Roman"/>
          <w:b/>
          <w:bCs/>
          <w:sz w:val="24"/>
          <w:szCs w:val="24"/>
        </w:rPr>
        <w:t xml:space="preserve">Curbing trade in counterfeit medicines: </w:t>
      </w:r>
      <w:r w:rsidRPr="004E6048">
        <w:rPr>
          <w:rFonts w:ascii="Times New Roman" w:hAnsi="Times New Roman"/>
          <w:sz w:val="24"/>
          <w:szCs w:val="24"/>
        </w:rPr>
        <w:t>Make customs and criminal enforcement</w:t>
      </w:r>
      <w:r w:rsidR="004978AD">
        <w:rPr>
          <w:rFonts w:ascii="Times New Roman" w:hAnsi="Times New Roman"/>
          <w:sz w:val="24"/>
          <w:szCs w:val="24"/>
        </w:rPr>
        <w:t xml:space="preserve"> </w:t>
      </w:r>
      <w:r w:rsidR="004978AD">
        <w:t xml:space="preserve">measures </w:t>
      </w:r>
      <w:r w:rsidRPr="004E6048">
        <w:t>available to prevent medicines bearing counterfeit trademarks from entering</w:t>
      </w:r>
      <w:r w:rsidR="004978AD">
        <w:t xml:space="preserve"> </w:t>
      </w:r>
      <w:r w:rsidRPr="004E6048">
        <w:t>national markets, and thus support efforts of countries to address the serious risks to</w:t>
      </w:r>
      <w:r w:rsidR="004978AD">
        <w:t xml:space="preserve"> </w:t>
      </w:r>
      <w:r w:rsidRPr="004E6048">
        <w:t>pati</w:t>
      </w:r>
      <w:r>
        <w:t>ents posed by such counterfeits;</w:t>
      </w:r>
    </w:p>
    <w:p w:rsidR="00306778" w:rsidRPr="004E6048" w:rsidRDefault="00306778" w:rsidP="00306778">
      <w:pPr>
        <w:widowControl/>
        <w:ind w:firstLine="720"/>
      </w:pPr>
    </w:p>
    <w:p w:rsidR="00306778" w:rsidRPr="004978AD" w:rsidRDefault="00306778" w:rsidP="004978AD">
      <w:pPr>
        <w:pStyle w:val="ListParagraph"/>
        <w:numPr>
          <w:ilvl w:val="0"/>
          <w:numId w:val="3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4E6048">
        <w:rPr>
          <w:rFonts w:ascii="Times New Roman" w:hAnsi="Times New Roman"/>
          <w:b/>
          <w:bCs/>
          <w:sz w:val="24"/>
          <w:szCs w:val="24"/>
        </w:rPr>
        <w:t xml:space="preserve">Reducing internal barriers to distribution of medicines: </w:t>
      </w:r>
      <w:r w:rsidRPr="004E6048">
        <w:rPr>
          <w:rFonts w:ascii="Times New Roman" w:hAnsi="Times New Roman"/>
          <w:sz w:val="24"/>
          <w:szCs w:val="24"/>
        </w:rPr>
        <w:t>Guarantee importing,</w:t>
      </w:r>
      <w:r w:rsidR="004978AD">
        <w:rPr>
          <w:rFonts w:ascii="Times New Roman" w:hAnsi="Times New Roman"/>
          <w:sz w:val="24"/>
          <w:szCs w:val="24"/>
        </w:rPr>
        <w:t xml:space="preserve"> </w:t>
      </w:r>
      <w:r w:rsidRPr="004E6048">
        <w:t>exporting, and distribution rights with respect to medicines and minimize internal barriers</w:t>
      </w:r>
      <w:r w:rsidR="004978AD">
        <w:t xml:space="preserve"> </w:t>
      </w:r>
      <w:r w:rsidRPr="004E6048">
        <w:t>that can stand in the way of efficiently distribu</w:t>
      </w:r>
      <w:r>
        <w:t>ting medicines to those in need;</w:t>
      </w:r>
    </w:p>
    <w:p w:rsidR="00306778" w:rsidRDefault="00306778" w:rsidP="00306778">
      <w:pPr>
        <w:widowControl/>
        <w:ind w:firstLine="720"/>
      </w:pPr>
    </w:p>
    <w:p w:rsidR="00306778" w:rsidRPr="00F32AB6" w:rsidRDefault="00306778" w:rsidP="00306778">
      <w:pPr>
        <w:pStyle w:val="ListParagraph"/>
        <w:numPr>
          <w:ilvl w:val="0"/>
          <w:numId w:val="3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F32AB6">
        <w:rPr>
          <w:rFonts w:ascii="Times New Roman" w:hAnsi="Times New Roman"/>
          <w:b/>
          <w:bCs/>
          <w:sz w:val="24"/>
          <w:szCs w:val="24"/>
        </w:rPr>
        <w:t xml:space="preserve">Minimizing unnecessary regulatory barriers: </w:t>
      </w:r>
      <w:r w:rsidRPr="00F32AB6">
        <w:rPr>
          <w:rFonts w:ascii="Times New Roman" w:hAnsi="Times New Roman"/>
          <w:sz w:val="24"/>
          <w:szCs w:val="24"/>
        </w:rPr>
        <w:t>Promote transparent and nondiscriminatory regulatory structures to facilitate the availability of safe and efficacious medicines to the public, while also improving coherence of future rules across the region.</w:t>
      </w:r>
    </w:p>
    <w:p w:rsidR="00306778" w:rsidRPr="00F32AB6" w:rsidRDefault="00306778" w:rsidP="00306778">
      <w:pPr>
        <w:widowControl/>
      </w:pPr>
    </w:p>
    <w:p w:rsidR="00306778" w:rsidRPr="00F22B8F" w:rsidRDefault="00306778" w:rsidP="00306778">
      <w:r w:rsidRPr="00F22B8F">
        <w:t>In conclusion, one policy alone cannot solve the challenges relating to access to medicines.  Rather, a variety of tools, including paragraph 6 of the Doha Declaration on the TRIPS Agreement and Public Health, are available to promote access to medicines.</w:t>
      </w:r>
    </w:p>
    <w:p w:rsidR="00306778" w:rsidRDefault="00306778" w:rsidP="00306778"/>
    <w:p w:rsidR="00306778" w:rsidRPr="00F22B8F" w:rsidRDefault="00306778" w:rsidP="00306778">
      <w:r w:rsidRPr="00F22B8F">
        <w:t>Further elaboration on these systemic issues can be found in paragraphs 1980201 of IP/C/M/57.</w:t>
      </w:r>
    </w:p>
    <w:p w:rsidR="00306778" w:rsidRDefault="00306778" w:rsidP="00306778">
      <w:pPr>
        <w:widowControl/>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Regarding the proposal of some Members to hold a workshop including non-governmental actors, the United States</w:t>
      </w:r>
      <w:r w:rsidRPr="008D22ED">
        <w:t xml:space="preserve"> do</w:t>
      </w:r>
      <w:r>
        <w:t>es</w:t>
      </w:r>
      <w:r w:rsidRPr="008D22ED">
        <w:t xml:space="preserve"> not support the idea of having the TRIPS Council organize a seminar on the paragraph 6 system.  </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 xml:space="preserve">As we have noted before, if Members wish to bring into the Council’s review of the solution perspectives they have gleaned from stakeholders, such as companies or NGOs, they are free to do so.  In this regard, we continue to note that what Members get out of such reviews is very much a function of what they put into them.  Indeed, we were hoping that Members could provide information on their experiences as input for the TRIPS Council discussions on the paragraph 6 system at this meeting. </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We have listened closely to the experiences that have been shared thus far, but we are frankly disappointed by the details given.</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It could be that the Paragraph 6 solution has not been necessary, and for this reason many Members have not implemented the system.</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Or it could be that the time and expense to travel to Geneva is too much for someone working in a Ministry of Health, with so many other competing demands.</w:t>
      </w: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8D22ED"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8D22ED">
        <w:t xml:space="preserve">We share the interest in hearing from other Members </w:t>
      </w:r>
      <w:r>
        <w:t>about</w:t>
      </w:r>
      <w:r w:rsidRPr="008D22ED">
        <w:t xml:space="preserve"> their experiences, and would like to hear Members’ views on how we can best elicit additional information.</w:t>
      </w:r>
    </w:p>
    <w:p w:rsidR="00306778" w:rsidRPr="001A539F"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b/>
          <w:bCs/>
        </w:rPr>
      </w:pPr>
    </w:p>
    <w:p w:rsidR="00306778" w:rsidRDefault="00306778" w:rsidP="00306778"/>
    <w:p w:rsidR="00306778" w:rsidRPr="009576DE" w:rsidRDefault="00306778" w:rsidP="00306778"/>
    <w:p w:rsidR="00306778" w:rsidRPr="009576DE" w:rsidRDefault="00306778" w:rsidP="00306778">
      <w:pPr>
        <w:ind w:left="720" w:hanging="720"/>
        <w:rPr>
          <w:b/>
        </w:rPr>
      </w:pPr>
      <w:r>
        <w:rPr>
          <w:b/>
        </w:rPr>
        <w:t>H.</w:t>
      </w:r>
      <w:r w:rsidRPr="009576DE">
        <w:rPr>
          <w:b/>
        </w:rPr>
        <w:tab/>
        <w:t>NON-VIOLATION AND SITUATION COMPLAINTS</w:t>
      </w:r>
    </w:p>
    <w:p w:rsidR="00306778" w:rsidRPr="009576DE"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
          <w:iCs/>
        </w:rPr>
      </w:pPr>
    </w:p>
    <w:p w:rsidR="00306778" w:rsidRPr="009576DE"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The United States looks forward to engaging constructively with the Chair and other Members on this issue.</w:t>
      </w:r>
    </w:p>
    <w:p w:rsidR="00306778" w:rsidRPr="009576DE"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 xml:space="preserve">We </w:t>
      </w:r>
      <w:r w:rsidRPr="009576DE">
        <w:rPr>
          <w:iCs/>
        </w:rPr>
        <w:t>maintain that non-violation complaints are fully appropriate in the context of the TRIPS Agreement.</w:t>
      </w: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 xml:space="preserve">The possibility of non-violation disputes has been a part of the GATT Dispute Settlement system since the beginning.   The TRIPS Agreement was carefully negotiated to accommodate different legal regimes and to accommodate Members’ need to achieve policy objectives.  The availability of non-violation complaints will merely assist Members in their efforts to preserve the balance of concessions and to protect against measures that frustrate legitimate expectations.  </w:t>
      </w: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Pr="00F30334"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 xml:space="preserve">As we have noted in the past, the failure to allow the possibility of non-violation disputes in connection with the TRIPS Agreement could invite Members to seek creative ways to avoid their TRIPS obligations. </w:t>
      </w:r>
    </w:p>
    <w:p w:rsidR="00306778" w:rsidRPr="009576DE"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p>
    <w:p w:rsidR="00306778" w:rsidRPr="00FC6A21"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9576DE">
        <w:rPr>
          <w:iCs/>
        </w:rPr>
        <w:t>We continue to be of the view that it is entirely appropriate for non-violation and situation complaints to be applicable to the TRIPS Agreement and</w:t>
      </w:r>
      <w:r>
        <w:rPr>
          <w:iCs/>
        </w:rPr>
        <w:t xml:space="preserve"> further, </w:t>
      </w:r>
      <w:r w:rsidRPr="009576DE">
        <w:rPr>
          <w:iCs/>
        </w:rPr>
        <w:t xml:space="preserve">that the moratorium </w:t>
      </w:r>
      <w:r>
        <w:rPr>
          <w:iCs/>
        </w:rPr>
        <w:t xml:space="preserve">should </w:t>
      </w:r>
      <w:r w:rsidRPr="009576DE">
        <w:rPr>
          <w:iCs/>
        </w:rPr>
        <w:t>expire at the next Ministerial conference.</w:t>
      </w: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pPr>
    </w:p>
    <w:p w:rsidR="00306778"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Bold" w:hAnsi="Times New Roman Bold"/>
          <w:b/>
        </w:rPr>
      </w:pPr>
      <w:r>
        <w:rPr>
          <w:rFonts w:ascii="Times New Roman Bold" w:hAnsi="Times New Roman Bold"/>
          <w:b/>
        </w:rPr>
        <w:t>K</w:t>
      </w:r>
      <w:r w:rsidRPr="00F77803">
        <w:rPr>
          <w:rFonts w:ascii="Times New Roman Bold" w:hAnsi="Times New Roman Bold"/>
          <w:b/>
        </w:rPr>
        <w:t>.  EIGHTH ANNUAL REVIEW UNDER PARAGRAPH 2 OF THE DECISION ON THE IMPLEMENTATION OF ARTICLE 66.2 OF THE TRIPS AGREEMENT</w:t>
      </w:r>
    </w:p>
    <w:p w:rsidR="00306778" w:rsidRPr="009576DE"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9576DE">
        <w:rPr>
          <w:iCs/>
        </w:rPr>
        <w:t>The U</w:t>
      </w:r>
      <w:r>
        <w:rPr>
          <w:iCs/>
        </w:rPr>
        <w:t>nited States</w:t>
      </w:r>
      <w:r w:rsidRPr="009576DE">
        <w:rPr>
          <w:iCs/>
        </w:rPr>
        <w:t xml:space="preserve"> </w:t>
      </w:r>
      <w:r>
        <w:rPr>
          <w:iCs/>
        </w:rPr>
        <w:t>has submitted an extensive report on its implementation efforts related to Article 66.2, detailing many activities undertaken by</w:t>
      </w:r>
      <w:r w:rsidRPr="00CF327A">
        <w:rPr>
          <w:iCs/>
        </w:rPr>
        <w:t xml:space="preserve"> enterprises and </w:t>
      </w:r>
      <w:r>
        <w:rPr>
          <w:iCs/>
        </w:rPr>
        <w:t>institutions in the United State</w:t>
      </w:r>
      <w:r w:rsidRPr="00CF327A">
        <w:rPr>
          <w:iCs/>
        </w:rPr>
        <w:t>s for the purpose of promoting and encouraging technology trans</w:t>
      </w:r>
      <w:r>
        <w:rPr>
          <w:iCs/>
        </w:rPr>
        <w:t xml:space="preserve">fer to least-developed country </w:t>
      </w:r>
      <w:r w:rsidRPr="00CF327A">
        <w:rPr>
          <w:iCs/>
        </w:rPr>
        <w:t>Members in order to enable them to create a sound and viable technological base</w:t>
      </w:r>
      <w:r>
        <w:rPr>
          <w:iCs/>
        </w:rPr>
        <w:t>.</w:t>
      </w: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Pr="00A353C3"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Rather than cataloging these activities today, w</w:t>
      </w:r>
      <w:r w:rsidRPr="00A353C3">
        <w:rPr>
          <w:iCs/>
        </w:rPr>
        <w:t>e would like to highlight two aspects of this report – the United States’ activities with respect to international students and best practices of universities</w:t>
      </w:r>
      <w:r>
        <w:rPr>
          <w:iCs/>
        </w:rPr>
        <w:t xml:space="preserve"> that facilitate technology transfer</w:t>
      </w:r>
      <w:r w:rsidRPr="00A353C3">
        <w:rPr>
          <w:iCs/>
        </w:rPr>
        <w:t>.</w:t>
      </w:r>
    </w:p>
    <w:p w:rsidR="00306778" w:rsidRDefault="00306778" w:rsidP="0030677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Cs/>
        </w:rPr>
      </w:pPr>
    </w:p>
    <w:p w:rsidR="00306778" w:rsidRDefault="00306778" w:rsidP="00306778">
      <w:pPr>
        <w:rPr>
          <w:iCs/>
        </w:rPr>
      </w:pPr>
      <w:r w:rsidRPr="00F22B8F">
        <w:rPr>
          <w:iCs/>
        </w:rPr>
        <w:t>Regarding international students</w:t>
      </w:r>
      <w:r>
        <w:rPr>
          <w:iCs/>
        </w:rPr>
        <w:t>, t</w:t>
      </w:r>
      <w:r w:rsidRPr="00667B69">
        <w:rPr>
          <w:iCs/>
        </w:rPr>
        <w:t xml:space="preserve">he United States promotes the </w:t>
      </w:r>
      <w:r>
        <w:rPr>
          <w:iCs/>
        </w:rPr>
        <w:t xml:space="preserve">enrollment of students from </w:t>
      </w:r>
      <w:r w:rsidRPr="00667B69">
        <w:rPr>
          <w:iCs/>
        </w:rPr>
        <w:t>around the world in our nation’s universities.</w:t>
      </w:r>
      <w:r>
        <w:rPr>
          <w:iCs/>
        </w:rPr>
        <w:t xml:space="preserve">  Since U.S. universities are largely established as tax-exempt entities, the education they provide is subsidized by the U.S. taxpayer in the form of foregone tax revenues. </w:t>
      </w:r>
    </w:p>
    <w:p w:rsidR="00306778" w:rsidRPr="00667B69"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 xml:space="preserve">Welcoming foreign students to our universities </w:t>
      </w:r>
      <w:r w:rsidRPr="00667B69">
        <w:rPr>
          <w:iCs/>
        </w:rPr>
        <w:t>not only helps build a sound technological base in developing countries, but also enhances our university system with the unique experiences of our international students.</w:t>
      </w:r>
    </w:p>
    <w:p w:rsidR="00306778" w:rsidRPr="00667B69"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Pr>
          <w:iCs/>
        </w:rPr>
        <w:t xml:space="preserve">In </w:t>
      </w:r>
      <w:r w:rsidRPr="00667B69">
        <w:rPr>
          <w:iCs/>
        </w:rPr>
        <w:t xml:space="preserve">2010, there were 690,923 international students enrolled in U.S. institutions of higher education, representing 3.5% of the total U.S. higher education enrollment. </w:t>
      </w:r>
    </w:p>
    <w:p w:rsidR="00306778" w:rsidRPr="00667B69"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667B69">
        <w:rPr>
          <w:iCs/>
        </w:rPr>
        <w:t>The top three countries of origin for foreign students in the United States were China (127,628 students), India (104,897) and South Korea (72,153)</w:t>
      </w:r>
      <w:r>
        <w:rPr>
          <w:iCs/>
        </w:rPr>
        <w:t>, and the top four fields of study for our foreign students were business and management, engineering, physical and life sciences, and mathematics and computer science – all of which are significant sources for technology transfer</w:t>
      </w:r>
      <w:r w:rsidRPr="00667B69">
        <w:rPr>
          <w:iCs/>
        </w:rPr>
        <w:t xml:space="preserve">.  </w:t>
      </w:r>
    </w:p>
    <w:p w:rsidR="00306778" w:rsidRPr="00667B69"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667B69">
        <w:rPr>
          <w:iCs/>
        </w:rPr>
        <w:t xml:space="preserve">The LDC with the most students enrolled in U.S. institutions of higher education in 2010 was Nepal with 11,233 students. </w:t>
      </w:r>
    </w:p>
    <w:p w:rsidR="00306778" w:rsidRPr="00667B69"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Pr="00B972E7"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667B69">
        <w:rPr>
          <w:iCs/>
        </w:rPr>
        <w:t xml:space="preserve">The total </w:t>
      </w:r>
      <w:r>
        <w:rPr>
          <w:iCs/>
        </w:rPr>
        <w:t xml:space="preserve">2010 enrollment in U.S. institutions of higher education </w:t>
      </w:r>
      <w:r w:rsidRPr="00667B69">
        <w:rPr>
          <w:iCs/>
        </w:rPr>
        <w:t xml:space="preserve">for all LDCs was </w:t>
      </w:r>
      <w:r w:rsidRPr="00667B69">
        <w:rPr>
          <w:color w:val="000000"/>
          <w:szCs w:val="22"/>
        </w:rPr>
        <w:t>26,685 students</w:t>
      </w:r>
      <w:r>
        <w:rPr>
          <w:color w:val="000000"/>
          <w:szCs w:val="22"/>
        </w:rPr>
        <w:t xml:space="preserve">. </w:t>
      </w:r>
    </w:p>
    <w:p w:rsidR="00306778" w:rsidRPr="00667B69"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306778" w:rsidRPr="00B972E7" w:rsidRDefault="00306778" w:rsidP="00306778">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667B69">
        <w:rPr>
          <w:color w:val="000000"/>
          <w:szCs w:val="22"/>
        </w:rPr>
        <w:t>Once their education is completed, many of these students return home,</w:t>
      </w:r>
      <w:r>
        <w:rPr>
          <w:color w:val="000000"/>
          <w:szCs w:val="22"/>
        </w:rPr>
        <w:t xml:space="preserve"> bringing with them new technologies, new processes, new research approaches and an understanding of the role of open markets </w:t>
      </w:r>
      <w:r w:rsidRPr="00B972E7">
        <w:rPr>
          <w:color w:val="000000"/>
        </w:rPr>
        <w:t xml:space="preserve">and democracy in the </w:t>
      </w:r>
      <w:r w:rsidR="004978AD">
        <w:rPr>
          <w:color w:val="000000"/>
        </w:rPr>
        <w:t>U.S.</w:t>
      </w:r>
      <w:r w:rsidRPr="00B972E7">
        <w:rPr>
          <w:color w:val="000000"/>
        </w:rPr>
        <w:t xml:space="preserve"> innovative society.  They have the skills to create their own nation’s sound and viable technological base and contacts in the United States and around the world who can contribute to that process.  </w:t>
      </w:r>
    </w:p>
    <w:p w:rsidR="00306778" w:rsidRPr="00B972E7"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Cs/>
        </w:rPr>
      </w:pPr>
    </w:p>
    <w:p w:rsidR="00306778" w:rsidRDefault="00306778" w:rsidP="00306778">
      <w:pPr>
        <w:pStyle w:val="BodyText"/>
        <w:numPr>
          <w:ilvl w:val="5"/>
          <w:numId w:val="0"/>
        </w:numPr>
        <w:tabs>
          <w:tab w:val="num" w:pos="720"/>
        </w:tabs>
        <w:rPr>
          <w:sz w:val="24"/>
          <w:szCs w:val="24"/>
        </w:rPr>
      </w:pPr>
      <w:r w:rsidRPr="00B972E7">
        <w:rPr>
          <w:iCs/>
          <w:sz w:val="24"/>
          <w:szCs w:val="24"/>
        </w:rPr>
        <w:t>Best</w:t>
      </w:r>
      <w:r w:rsidRPr="00B972E7">
        <w:rPr>
          <w:sz w:val="24"/>
          <w:szCs w:val="24"/>
        </w:rPr>
        <w:t xml:space="preserve"> practices that encourage technology transfer from U.S. universities </w:t>
      </w:r>
      <w:r>
        <w:rPr>
          <w:sz w:val="24"/>
          <w:szCs w:val="24"/>
        </w:rPr>
        <w:t>include:</w:t>
      </w:r>
    </w:p>
    <w:p w:rsidR="00306778" w:rsidRPr="00A353C3" w:rsidRDefault="00306778" w:rsidP="00306778">
      <w:pPr>
        <w:pStyle w:val="BodyText"/>
        <w:numPr>
          <w:ilvl w:val="0"/>
          <w:numId w:val="35"/>
        </w:numPr>
        <w:rPr>
          <w:sz w:val="24"/>
          <w:szCs w:val="24"/>
        </w:rPr>
      </w:pPr>
      <w:r>
        <w:rPr>
          <w:sz w:val="24"/>
          <w:szCs w:val="24"/>
        </w:rPr>
        <w:t>The</w:t>
      </w:r>
      <w:r w:rsidRPr="00B972E7">
        <w:rPr>
          <w:sz w:val="24"/>
          <w:szCs w:val="24"/>
        </w:rPr>
        <w:t xml:space="preserve"> publica</w:t>
      </w:r>
      <w:r>
        <w:rPr>
          <w:sz w:val="24"/>
          <w:szCs w:val="24"/>
        </w:rPr>
        <w:t xml:space="preserve">tion of research results in </w:t>
      </w:r>
      <w:r w:rsidRPr="00B972E7">
        <w:rPr>
          <w:sz w:val="24"/>
          <w:szCs w:val="24"/>
        </w:rPr>
        <w:t>open academic literature that is a</w:t>
      </w:r>
      <w:r>
        <w:rPr>
          <w:sz w:val="24"/>
          <w:szCs w:val="24"/>
        </w:rPr>
        <w:t>ccessible globally through the I</w:t>
      </w:r>
      <w:r w:rsidRPr="00B972E7">
        <w:rPr>
          <w:sz w:val="24"/>
          <w:szCs w:val="24"/>
        </w:rPr>
        <w:t>nternet</w:t>
      </w:r>
      <w:r>
        <w:rPr>
          <w:sz w:val="24"/>
          <w:szCs w:val="24"/>
        </w:rPr>
        <w:t>;</w:t>
      </w:r>
    </w:p>
    <w:p w:rsidR="00306778" w:rsidRDefault="00306778" w:rsidP="00306778">
      <w:pPr>
        <w:pStyle w:val="ListParagraph"/>
        <w:numPr>
          <w:ilvl w:val="0"/>
          <w:numId w:val="9"/>
        </w:numPr>
        <w:rPr>
          <w:rFonts w:ascii="Times New Roman" w:hAnsi="Times New Roman"/>
          <w:sz w:val="24"/>
          <w:szCs w:val="24"/>
        </w:rPr>
      </w:pPr>
      <w:r>
        <w:rPr>
          <w:rFonts w:ascii="Times New Roman" w:hAnsi="Times New Roman"/>
          <w:sz w:val="24"/>
          <w:szCs w:val="24"/>
        </w:rPr>
        <w:t>P</w:t>
      </w:r>
      <w:r w:rsidRPr="00B972E7">
        <w:rPr>
          <w:rFonts w:ascii="Times New Roman" w:hAnsi="Times New Roman"/>
          <w:sz w:val="24"/>
          <w:szCs w:val="24"/>
        </w:rPr>
        <w:t>ersonal interaction between creators and users of new knowledge (e.g. through professional meetings, conferences, seminars, industrial liaison programs and other venues);</w:t>
      </w:r>
    </w:p>
    <w:p w:rsidR="00306778" w:rsidRPr="00B972E7" w:rsidRDefault="00306778" w:rsidP="00306778">
      <w:pPr>
        <w:pStyle w:val="ListParagraph"/>
        <w:rPr>
          <w:rFonts w:ascii="Times New Roman" w:hAnsi="Times New Roman"/>
          <w:sz w:val="24"/>
          <w:szCs w:val="24"/>
        </w:rPr>
      </w:pPr>
    </w:p>
    <w:p w:rsidR="00306778" w:rsidRDefault="00306778" w:rsidP="00306778">
      <w:pPr>
        <w:pStyle w:val="ListParagraph"/>
        <w:numPr>
          <w:ilvl w:val="0"/>
          <w:numId w:val="9"/>
        </w:numPr>
        <w:rPr>
          <w:rFonts w:ascii="Times New Roman" w:hAnsi="Times New Roman"/>
          <w:sz w:val="24"/>
          <w:szCs w:val="24"/>
        </w:rPr>
      </w:pPr>
      <w:r>
        <w:rPr>
          <w:rFonts w:ascii="Times New Roman" w:hAnsi="Times New Roman"/>
          <w:sz w:val="24"/>
          <w:szCs w:val="24"/>
        </w:rPr>
        <w:t>C</w:t>
      </w:r>
      <w:r w:rsidRPr="00B972E7">
        <w:rPr>
          <w:rFonts w:ascii="Times New Roman" w:hAnsi="Times New Roman"/>
          <w:sz w:val="24"/>
          <w:szCs w:val="24"/>
        </w:rPr>
        <w:t>ollaborative research projects;</w:t>
      </w:r>
    </w:p>
    <w:p w:rsidR="00306778" w:rsidRPr="00B972E7" w:rsidRDefault="00306778" w:rsidP="00306778">
      <w:pPr>
        <w:pStyle w:val="ListParagraph"/>
        <w:rPr>
          <w:rFonts w:ascii="Times New Roman" w:hAnsi="Times New Roman"/>
          <w:sz w:val="24"/>
          <w:szCs w:val="24"/>
        </w:rPr>
      </w:pPr>
    </w:p>
    <w:p w:rsidR="00306778" w:rsidRDefault="00306778" w:rsidP="00306778">
      <w:pPr>
        <w:pStyle w:val="ListParagraph"/>
        <w:numPr>
          <w:ilvl w:val="0"/>
          <w:numId w:val="9"/>
        </w:numPr>
        <w:rPr>
          <w:rFonts w:ascii="Times New Roman" w:hAnsi="Times New Roman"/>
          <w:sz w:val="24"/>
          <w:szCs w:val="24"/>
        </w:rPr>
      </w:pPr>
      <w:r>
        <w:rPr>
          <w:rFonts w:ascii="Times New Roman" w:hAnsi="Times New Roman"/>
          <w:sz w:val="24"/>
          <w:szCs w:val="24"/>
        </w:rPr>
        <w:t>E</w:t>
      </w:r>
      <w:r w:rsidRPr="00B972E7">
        <w:rPr>
          <w:rFonts w:ascii="Times New Roman" w:hAnsi="Times New Roman"/>
          <w:sz w:val="24"/>
          <w:szCs w:val="24"/>
        </w:rPr>
        <w:t>ntrepreneurial activity of faculty and students occurring outside the university without involving university owned intellectual property (IP); and</w:t>
      </w:r>
    </w:p>
    <w:p w:rsidR="00306778" w:rsidRPr="00B972E7" w:rsidRDefault="00306778" w:rsidP="00306778">
      <w:pPr>
        <w:pStyle w:val="ListParagraph"/>
        <w:rPr>
          <w:rFonts w:ascii="Times New Roman" w:hAnsi="Times New Roman"/>
          <w:sz w:val="24"/>
          <w:szCs w:val="24"/>
        </w:rPr>
      </w:pPr>
    </w:p>
    <w:p w:rsidR="00306778" w:rsidRPr="00B972E7" w:rsidRDefault="00306778" w:rsidP="00306778">
      <w:pPr>
        <w:pStyle w:val="ListParagraph"/>
        <w:numPr>
          <w:ilvl w:val="0"/>
          <w:numId w:val="9"/>
        </w:numPr>
        <w:rPr>
          <w:rFonts w:ascii="Times New Roman" w:hAnsi="Times New Roman"/>
          <w:sz w:val="24"/>
          <w:szCs w:val="24"/>
        </w:rPr>
      </w:pPr>
      <w:r w:rsidRPr="00B972E7">
        <w:rPr>
          <w:rFonts w:ascii="Times New Roman" w:hAnsi="Times New Roman"/>
          <w:sz w:val="24"/>
          <w:szCs w:val="24"/>
        </w:rPr>
        <w:t>Finally, licensing of IP to established firms or to new start-up companies</w:t>
      </w:r>
      <w:r>
        <w:rPr>
          <w:rFonts w:ascii="Times New Roman" w:hAnsi="Times New Roman"/>
          <w:sz w:val="24"/>
          <w:szCs w:val="24"/>
        </w:rPr>
        <w:t>.</w:t>
      </w:r>
    </w:p>
    <w:p w:rsidR="00306778" w:rsidRPr="009576DE" w:rsidRDefault="00306778" w:rsidP="00306778">
      <w:pPr>
        <w:widowControl/>
        <w:autoSpaceDE/>
        <w:autoSpaceDN/>
        <w:adjustRightInd/>
        <w:rPr>
          <w:color w:val="0000FF"/>
        </w:rPr>
      </w:pPr>
    </w:p>
    <w:p w:rsidR="00306778" w:rsidRPr="009576DE"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Default="00306778" w:rsidP="00306778">
      <w:pPr>
        <w:ind w:left="720" w:hanging="720"/>
        <w:rPr>
          <w:b/>
        </w:rPr>
      </w:pPr>
      <w:r>
        <w:rPr>
          <w:b/>
        </w:rPr>
        <w:t>O</w:t>
      </w:r>
      <w:r w:rsidRPr="009576DE">
        <w:rPr>
          <w:b/>
        </w:rPr>
        <w:t>.</w:t>
      </w:r>
      <w:r w:rsidRPr="009576DE">
        <w:rPr>
          <w:b/>
        </w:rPr>
        <w:tab/>
      </w:r>
      <w:r>
        <w:rPr>
          <w:b/>
        </w:rPr>
        <w:t>ENFORCEMENT OF INTELLECTUAL PROPERTY RIGHTS (PARTY III OF THE TRIPS AGREEMENT)</w:t>
      </w:r>
    </w:p>
    <w:p w:rsidR="00306778" w:rsidRDefault="00306778" w:rsidP="00306778">
      <w:pPr>
        <w:ind w:left="720" w:hanging="720"/>
        <w:rPr>
          <w:b/>
        </w:rPr>
      </w:pPr>
    </w:p>
    <w:p w:rsidR="00306778" w:rsidRDefault="00306778" w:rsidP="00306778">
      <w:pPr>
        <w:pStyle w:val="ListParagraph"/>
        <w:rPr>
          <w:rFonts w:ascii="Times New Roman" w:hAnsi="Times New Roman"/>
          <w:color w:val="000000"/>
          <w:sz w:val="24"/>
          <w:szCs w:val="24"/>
        </w:rPr>
      </w:pPr>
    </w:p>
    <w:p w:rsidR="00306778" w:rsidRDefault="00306778" w:rsidP="00306778">
      <w:r>
        <w:t>The United States thanks Japan for its opening remarks</w:t>
      </w:r>
      <w:r w:rsidR="005F3448">
        <w:t>,</w:t>
      </w:r>
      <w:r>
        <w:t xml:space="preserve"> with which we fully associate ourselves.</w:t>
      </w:r>
    </w:p>
    <w:p w:rsidR="00306778" w:rsidRDefault="00306778" w:rsidP="00306778"/>
    <w:p w:rsidR="00306778" w:rsidRDefault="00306778" w:rsidP="00306778">
      <w:r>
        <w:t>We</w:t>
      </w:r>
      <w:r w:rsidRPr="00F22B8F">
        <w:t xml:space="preserve"> </w:t>
      </w:r>
      <w:r>
        <w:t>appreciate</w:t>
      </w:r>
      <w:r w:rsidRPr="00F22B8F">
        <w:t xml:space="preserve"> this opportunity to share with colleagues from other WTO Members our views on the importance of enforcement and to provide some additional information on the ACTA.  </w:t>
      </w:r>
    </w:p>
    <w:p w:rsidR="00306778" w:rsidRDefault="00306778" w:rsidP="00306778"/>
    <w:p w:rsidR="00306778" w:rsidRPr="00A353C3" w:rsidRDefault="00306778" w:rsidP="00306778">
      <w:r>
        <w:t>By way of background, p</w:t>
      </w:r>
      <w:r w:rsidRPr="00A353C3">
        <w:t>arties concluded the ACTA becau</w:t>
      </w:r>
      <w:r>
        <w:t>se counterfeiting and piracy were</w:t>
      </w:r>
      <w:r w:rsidRPr="00A353C3">
        <w:t xml:space="preserve"> spreading faster than governments could effectively react, robbing individuals and businesses of billions of dollars.  </w:t>
      </w:r>
      <w:r>
        <w:t>We</w:t>
      </w:r>
      <w:r w:rsidRPr="00A353C3">
        <w:t xml:space="preserve"> realized that because this was a global problem it needed a global solution.  </w:t>
      </w:r>
    </w:p>
    <w:p w:rsidR="00306778" w:rsidRPr="00611CCA" w:rsidRDefault="00306778" w:rsidP="00306778">
      <w:pPr>
        <w:pStyle w:val="ListParagraph"/>
        <w:rPr>
          <w:rFonts w:ascii="Times New Roman" w:hAnsi="Times New Roman"/>
          <w:sz w:val="24"/>
          <w:szCs w:val="24"/>
        </w:rPr>
      </w:pPr>
    </w:p>
    <w:p w:rsidR="00306778" w:rsidRPr="004A0E84" w:rsidRDefault="00306778" w:rsidP="00306778">
      <w:r w:rsidRPr="004A0E84">
        <w:t xml:space="preserve">For example, today, counterfeiters and pirates move shipments through multiple ports to hide the origin of the shipment, and to lower the risk of detection by customs.  The Internet has provided counterfeiters and pirates with an extremely fast and efficient tool to distribute their illicit products – with the ease of a click of a mouse, pirated movies, music and games can be uploaded or downloaded; counterfeit foods and medicines can be sold and sent.  This was not the case when the TRIPS Agreement was concluded. </w:t>
      </w:r>
    </w:p>
    <w:p w:rsidR="00306778" w:rsidRPr="00611CCA" w:rsidRDefault="00306778" w:rsidP="00306778">
      <w:pPr>
        <w:pStyle w:val="ListParagraph"/>
        <w:rPr>
          <w:rFonts w:ascii="Times New Roman" w:hAnsi="Times New Roman"/>
          <w:sz w:val="24"/>
          <w:szCs w:val="24"/>
        </w:rPr>
      </w:pPr>
    </w:p>
    <w:p w:rsidR="00306778" w:rsidRPr="004A0E84" w:rsidRDefault="00306778" w:rsidP="00306778">
      <w:r w:rsidRPr="004A0E84">
        <w:t>As my Japanese colleague noted, there are various sections to ACTA.  The key substantive Chapters deal with:  Legal Framework, Enforcement Practices, and International Cooperation.  </w:t>
      </w:r>
    </w:p>
    <w:p w:rsidR="00306778" w:rsidRPr="00611CCA" w:rsidRDefault="00306778" w:rsidP="00306778"/>
    <w:p w:rsidR="00306778" w:rsidRPr="00611CCA" w:rsidRDefault="00306778" w:rsidP="00306778">
      <w:pPr>
        <w:widowControl/>
        <w:autoSpaceDE/>
        <w:adjustRightInd/>
        <w:rPr>
          <w:color w:val="000000"/>
        </w:rPr>
      </w:pPr>
      <w:r w:rsidRPr="00611CCA">
        <w:t xml:space="preserve">The Legal Framework </w:t>
      </w:r>
      <w:r>
        <w:t>chapter</w:t>
      </w:r>
      <w:r w:rsidRPr="00611CCA">
        <w:t xml:space="preserve"> of the agreement </w:t>
      </w:r>
      <w:r>
        <w:t>concerns</w:t>
      </w:r>
      <w:r w:rsidRPr="00611CCA">
        <w:t xml:space="preserve"> the legal tools needed by enforcement authorities to effectively respond to today’s counterfeiting and piracy problem</w:t>
      </w:r>
      <w:r>
        <w:t>s</w:t>
      </w:r>
      <w:r w:rsidRPr="00611CCA">
        <w:t xml:space="preserve">.  The Enforcement Practices </w:t>
      </w:r>
      <w:r>
        <w:t>chapter</w:t>
      </w:r>
      <w:r w:rsidRPr="00611CCA">
        <w:t xml:space="preserve"> encourages the creation of mechanisms to combat the proliferation of these illicit products.  Finally, the </w:t>
      </w:r>
      <w:r>
        <w:t xml:space="preserve">chapter on </w:t>
      </w:r>
      <w:r w:rsidRPr="00611CCA">
        <w:t xml:space="preserve">International </w:t>
      </w:r>
      <w:r w:rsidR="00404129" w:rsidRPr="00611CCA">
        <w:t>Cooperation,</w:t>
      </w:r>
      <w:r w:rsidRPr="00611CCA">
        <w:t xml:space="preserve"> </w:t>
      </w:r>
      <w:r>
        <w:t>a very</w:t>
      </w:r>
      <w:r w:rsidRPr="00611CCA">
        <w:rPr>
          <w:color w:val="000000"/>
        </w:rPr>
        <w:t xml:space="preserve"> important element of the agreement, in our view, encourages close global cooperation. </w:t>
      </w:r>
    </w:p>
    <w:p w:rsidR="00306778" w:rsidRPr="00611CCA" w:rsidRDefault="00306778" w:rsidP="00306778">
      <w:pPr>
        <w:rPr>
          <w:color w:val="000000"/>
        </w:rPr>
      </w:pPr>
    </w:p>
    <w:p w:rsidR="00306778" w:rsidRPr="004A0E84" w:rsidRDefault="00306778" w:rsidP="00306778">
      <w:pPr>
        <w:rPr>
          <w:color w:val="000000"/>
        </w:rPr>
      </w:pPr>
      <w:r w:rsidRPr="004A0E84">
        <w:rPr>
          <w:color w:val="000000"/>
        </w:rPr>
        <w:t>ACTA promotes the enforcement of intellectual property rights through a variety of means:</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 xml:space="preserve">The </w:t>
      </w:r>
      <w:r w:rsidRPr="00611CCA">
        <w:rPr>
          <w:rFonts w:ascii="Times New Roman" w:hAnsi="Times New Roman"/>
          <w:color w:val="000000"/>
          <w:sz w:val="24"/>
          <w:szCs w:val="24"/>
        </w:rPr>
        <w:t>ACTA will create a first-of-its-kind alliance of trading partners representing more than half of world trade to cooperate in the fight against piracy and counterfeiting.</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 xml:space="preserve">The </w:t>
      </w:r>
      <w:r w:rsidRPr="00611CCA">
        <w:rPr>
          <w:rFonts w:ascii="Times New Roman" w:hAnsi="Times New Roman"/>
          <w:color w:val="000000"/>
          <w:sz w:val="24"/>
          <w:szCs w:val="24"/>
        </w:rPr>
        <w:t xml:space="preserve">ACTA will </w:t>
      </w:r>
      <w:r>
        <w:rPr>
          <w:rFonts w:ascii="Times New Roman" w:hAnsi="Times New Roman"/>
          <w:color w:val="000000"/>
          <w:sz w:val="24"/>
          <w:szCs w:val="24"/>
        </w:rPr>
        <w:t>require</w:t>
      </w:r>
      <w:r w:rsidRPr="00611CCA">
        <w:rPr>
          <w:rFonts w:ascii="Times New Roman" w:hAnsi="Times New Roman"/>
          <w:color w:val="000000"/>
          <w:sz w:val="24"/>
          <w:szCs w:val="24"/>
        </w:rPr>
        <w:t xml:space="preserve"> that border enforcement authorities be empowered to act on their own initiative against both imports and exports of counterfeit and pirated goods.</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 xml:space="preserve">It </w:t>
      </w:r>
      <w:r w:rsidRPr="00611CCA">
        <w:rPr>
          <w:rFonts w:ascii="Times New Roman" w:hAnsi="Times New Roman"/>
          <w:color w:val="000000"/>
          <w:sz w:val="24"/>
          <w:szCs w:val="24"/>
        </w:rPr>
        <w:t xml:space="preserve">will </w:t>
      </w:r>
      <w:r>
        <w:rPr>
          <w:rFonts w:ascii="Times New Roman" w:hAnsi="Times New Roman"/>
          <w:color w:val="000000"/>
          <w:sz w:val="24"/>
          <w:szCs w:val="24"/>
        </w:rPr>
        <w:t>require</w:t>
      </w:r>
      <w:r w:rsidRPr="00611CCA">
        <w:rPr>
          <w:rFonts w:ascii="Times New Roman" w:hAnsi="Times New Roman"/>
          <w:color w:val="000000"/>
          <w:sz w:val="24"/>
          <w:szCs w:val="24"/>
        </w:rPr>
        <w:t xml:space="preserve"> </w:t>
      </w:r>
      <w:r>
        <w:rPr>
          <w:rFonts w:ascii="Times New Roman" w:hAnsi="Times New Roman"/>
          <w:color w:val="000000"/>
          <w:sz w:val="24"/>
          <w:szCs w:val="24"/>
        </w:rPr>
        <w:t>Parties to make</w:t>
      </w:r>
      <w:r w:rsidRPr="00611CCA">
        <w:rPr>
          <w:rFonts w:ascii="Times New Roman" w:hAnsi="Times New Roman"/>
          <w:color w:val="000000"/>
          <w:sz w:val="24"/>
          <w:szCs w:val="24"/>
        </w:rPr>
        <w:t xml:space="preserve"> criminal penalties </w:t>
      </w:r>
      <w:r>
        <w:rPr>
          <w:rFonts w:ascii="Times New Roman" w:hAnsi="Times New Roman"/>
          <w:color w:val="000000"/>
          <w:sz w:val="24"/>
          <w:szCs w:val="24"/>
        </w:rPr>
        <w:t xml:space="preserve">available </w:t>
      </w:r>
      <w:r w:rsidRPr="00611CCA">
        <w:rPr>
          <w:rFonts w:ascii="Times New Roman" w:hAnsi="Times New Roman"/>
          <w:color w:val="000000"/>
          <w:sz w:val="24"/>
          <w:szCs w:val="24"/>
        </w:rPr>
        <w:t xml:space="preserve">when piracy or counterfeiting is carried out for commercial advantage (such as companies using pirated software).  </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It</w:t>
      </w:r>
      <w:r w:rsidRPr="00611CCA">
        <w:rPr>
          <w:rFonts w:ascii="Times New Roman" w:hAnsi="Times New Roman"/>
          <w:color w:val="000000"/>
          <w:sz w:val="24"/>
          <w:szCs w:val="24"/>
        </w:rPr>
        <w:t xml:space="preserve"> will require that criminal authorities be able to act on their own initiative (“</w:t>
      </w:r>
      <w:r w:rsidRPr="00611CCA">
        <w:rPr>
          <w:rFonts w:ascii="Times New Roman" w:hAnsi="Times New Roman"/>
          <w:i/>
          <w:color w:val="000000"/>
          <w:sz w:val="24"/>
          <w:szCs w:val="24"/>
        </w:rPr>
        <w:t>ex officio</w:t>
      </w:r>
      <w:r w:rsidRPr="00611CCA">
        <w:rPr>
          <w:rFonts w:ascii="Times New Roman" w:hAnsi="Times New Roman"/>
          <w:color w:val="000000"/>
          <w:sz w:val="24"/>
          <w:szCs w:val="24"/>
        </w:rPr>
        <w:t>”) in IP cases, rather than waiting for a complaint.</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It</w:t>
      </w:r>
      <w:r w:rsidRPr="00611CCA">
        <w:rPr>
          <w:rFonts w:ascii="Times New Roman" w:hAnsi="Times New Roman"/>
          <w:color w:val="000000"/>
          <w:sz w:val="24"/>
          <w:szCs w:val="24"/>
        </w:rPr>
        <w:t xml:space="preserve"> will include new commitments as well as commitments on criminal seizure and destruction of fake goods, seizure of the equipment and materials used in their manufacture, and seizure of the criminal proceeds from IP offenses.</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The Agreement</w:t>
      </w:r>
      <w:r w:rsidRPr="00611CCA">
        <w:rPr>
          <w:rFonts w:ascii="Times New Roman" w:hAnsi="Times New Roman"/>
          <w:color w:val="000000"/>
          <w:sz w:val="24"/>
          <w:szCs w:val="24"/>
        </w:rPr>
        <w:t xml:space="preserve"> will </w:t>
      </w:r>
      <w:r>
        <w:rPr>
          <w:rFonts w:ascii="Times New Roman" w:hAnsi="Times New Roman"/>
          <w:color w:val="000000"/>
          <w:sz w:val="24"/>
          <w:szCs w:val="24"/>
        </w:rPr>
        <w:t xml:space="preserve">also </w:t>
      </w:r>
      <w:r w:rsidRPr="00611CCA">
        <w:rPr>
          <w:rFonts w:ascii="Times New Roman" w:hAnsi="Times New Roman"/>
          <w:color w:val="000000"/>
          <w:sz w:val="24"/>
          <w:szCs w:val="24"/>
        </w:rPr>
        <w:t>clarify existing international requirements for remedies against circumvention of technological protections used in the digital environment (such passwords or encryption) and trade in circumvention devices.</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 xml:space="preserve">The </w:t>
      </w:r>
      <w:r w:rsidRPr="00611CCA">
        <w:rPr>
          <w:rFonts w:ascii="Times New Roman" w:hAnsi="Times New Roman"/>
          <w:color w:val="000000"/>
          <w:sz w:val="24"/>
          <w:szCs w:val="24"/>
        </w:rPr>
        <w:t xml:space="preserve">ACTA will </w:t>
      </w:r>
      <w:r>
        <w:rPr>
          <w:rFonts w:ascii="Times New Roman" w:hAnsi="Times New Roman"/>
          <w:color w:val="000000"/>
          <w:sz w:val="24"/>
          <w:szCs w:val="24"/>
        </w:rPr>
        <w:t>call</w:t>
      </w:r>
      <w:r w:rsidRPr="00611CCA">
        <w:rPr>
          <w:rFonts w:ascii="Times New Roman" w:hAnsi="Times New Roman"/>
          <w:color w:val="000000"/>
          <w:sz w:val="24"/>
          <w:szCs w:val="24"/>
        </w:rPr>
        <w:t xml:space="preserve"> on </w:t>
      </w:r>
      <w:r>
        <w:rPr>
          <w:rFonts w:ascii="Times New Roman" w:hAnsi="Times New Roman"/>
          <w:color w:val="000000"/>
          <w:sz w:val="24"/>
          <w:szCs w:val="24"/>
        </w:rPr>
        <w:t>P</w:t>
      </w:r>
      <w:r w:rsidRPr="00611CCA">
        <w:rPr>
          <w:rFonts w:ascii="Times New Roman" w:hAnsi="Times New Roman"/>
          <w:color w:val="000000"/>
          <w:sz w:val="24"/>
          <w:szCs w:val="24"/>
        </w:rPr>
        <w:t>arties to address widespread distribution of pirated copyrighted works on digital networks while preserving fundamental principles such as freedom of expression, fair process, and privacy.</w:t>
      </w:r>
    </w:p>
    <w:p w:rsidR="00306778" w:rsidRPr="00611CCA" w:rsidRDefault="00306778" w:rsidP="00306778">
      <w:pPr>
        <w:pStyle w:val="ListParagraph"/>
        <w:rPr>
          <w:rFonts w:ascii="Times New Roman" w:hAnsi="Times New Roman"/>
          <w:color w:val="000000"/>
          <w:sz w:val="24"/>
          <w:szCs w:val="24"/>
        </w:rPr>
      </w:pPr>
    </w:p>
    <w:p w:rsidR="00306778" w:rsidRPr="00611CCA" w:rsidRDefault="00306778" w:rsidP="00306778">
      <w:pPr>
        <w:pStyle w:val="ListParagraph"/>
        <w:numPr>
          <w:ilvl w:val="0"/>
          <w:numId w:val="19"/>
        </w:numPr>
        <w:autoSpaceDN w:val="0"/>
        <w:contextualSpacing w:val="0"/>
        <w:rPr>
          <w:rFonts w:ascii="Times New Roman" w:hAnsi="Times New Roman"/>
          <w:color w:val="000000"/>
          <w:sz w:val="24"/>
          <w:szCs w:val="24"/>
        </w:rPr>
      </w:pPr>
      <w:r>
        <w:rPr>
          <w:rFonts w:ascii="Times New Roman" w:hAnsi="Times New Roman"/>
          <w:color w:val="000000"/>
          <w:sz w:val="24"/>
          <w:szCs w:val="24"/>
        </w:rPr>
        <w:t xml:space="preserve">The </w:t>
      </w:r>
      <w:r w:rsidRPr="00611CCA">
        <w:rPr>
          <w:rFonts w:ascii="Times New Roman" w:hAnsi="Times New Roman"/>
          <w:color w:val="000000"/>
          <w:sz w:val="24"/>
          <w:szCs w:val="24"/>
        </w:rPr>
        <w:t xml:space="preserve">ACTA will enhance the TRIPS </w:t>
      </w:r>
      <w:r>
        <w:rPr>
          <w:rFonts w:ascii="Times New Roman" w:hAnsi="Times New Roman"/>
          <w:color w:val="000000"/>
          <w:sz w:val="24"/>
          <w:szCs w:val="24"/>
        </w:rPr>
        <w:t xml:space="preserve">Agreement </w:t>
      </w:r>
      <w:r w:rsidRPr="00611CCA">
        <w:rPr>
          <w:rFonts w:ascii="Times New Roman" w:hAnsi="Times New Roman"/>
          <w:color w:val="000000"/>
          <w:sz w:val="24"/>
          <w:szCs w:val="24"/>
        </w:rPr>
        <w:t xml:space="preserve">framework </w:t>
      </w:r>
      <w:r>
        <w:rPr>
          <w:rFonts w:ascii="Times New Roman" w:hAnsi="Times New Roman"/>
          <w:color w:val="000000"/>
          <w:sz w:val="24"/>
          <w:szCs w:val="24"/>
        </w:rPr>
        <w:t xml:space="preserve">on </w:t>
      </w:r>
      <w:r w:rsidRPr="00611CCA">
        <w:rPr>
          <w:rFonts w:ascii="Times New Roman" w:hAnsi="Times New Roman"/>
          <w:color w:val="000000"/>
          <w:sz w:val="24"/>
          <w:szCs w:val="24"/>
        </w:rPr>
        <w:t>civil enforcement provisions</w:t>
      </w:r>
      <w:r>
        <w:rPr>
          <w:rFonts w:ascii="Times New Roman" w:hAnsi="Times New Roman"/>
          <w:color w:val="000000"/>
          <w:sz w:val="24"/>
          <w:szCs w:val="24"/>
        </w:rPr>
        <w:t xml:space="preserve"> and</w:t>
      </w:r>
      <w:r w:rsidRPr="00611CCA">
        <w:rPr>
          <w:rFonts w:ascii="Times New Roman" w:hAnsi="Times New Roman"/>
          <w:color w:val="000000"/>
          <w:sz w:val="24"/>
          <w:szCs w:val="24"/>
        </w:rPr>
        <w:t xml:space="preserve"> deal</w:t>
      </w:r>
      <w:r>
        <w:rPr>
          <w:rFonts w:ascii="Times New Roman" w:hAnsi="Times New Roman"/>
          <w:color w:val="000000"/>
          <w:sz w:val="24"/>
          <w:szCs w:val="24"/>
        </w:rPr>
        <w:t>s</w:t>
      </w:r>
      <w:r w:rsidRPr="00611CCA">
        <w:rPr>
          <w:rFonts w:ascii="Times New Roman" w:hAnsi="Times New Roman"/>
          <w:color w:val="000000"/>
          <w:sz w:val="24"/>
          <w:szCs w:val="24"/>
        </w:rPr>
        <w:t xml:space="preserve"> with issues such as damages, provisional measures, recovery of costs and attorneys’ fees, and destruction of infringing goods.</w:t>
      </w:r>
    </w:p>
    <w:p w:rsidR="00306778" w:rsidRDefault="00306778" w:rsidP="00306778">
      <w:pPr>
        <w:rPr>
          <w:rFonts w:eastAsia="Calibri"/>
          <w:color w:val="000000"/>
        </w:rPr>
      </w:pPr>
    </w:p>
    <w:p w:rsidR="00306778" w:rsidRPr="004A0E84" w:rsidRDefault="00306778" w:rsidP="00306778">
      <w:pPr>
        <w:rPr>
          <w:color w:val="000000"/>
        </w:rPr>
      </w:pPr>
      <w:r w:rsidRPr="004A0E84">
        <w:rPr>
          <w:color w:val="000000"/>
        </w:rPr>
        <w:t>The ACTA will promote practices that contribute to effective enforcement of IPRs, such as specialization, data analysis, internal coordination, stakeholder consultation, risk management, transparency, and public awareness.  Finally, we note that ACTA is open to any WTO to apply to join.</w:t>
      </w:r>
    </w:p>
    <w:p w:rsidR="00306778" w:rsidRPr="000178C5" w:rsidRDefault="00306778" w:rsidP="00306778"/>
    <w:p w:rsidR="00306778" w:rsidRPr="000178C5" w:rsidRDefault="00306778" w:rsidP="00306778">
      <w:r w:rsidRPr="000178C5">
        <w:t>[</w:t>
      </w:r>
      <w:r>
        <w:rPr>
          <w:i/>
        </w:rPr>
        <w:t>responses to questions raised</w:t>
      </w:r>
      <w:r w:rsidRPr="000178C5">
        <w:rPr>
          <w:i/>
        </w:rPr>
        <w:t>.</w:t>
      </w:r>
      <w:r w:rsidRPr="000178C5">
        <w:t>]</w:t>
      </w:r>
    </w:p>
    <w:p w:rsidR="00306778" w:rsidRPr="000178C5" w:rsidRDefault="00306778" w:rsidP="00306778"/>
    <w:p w:rsidR="00306778" w:rsidRDefault="00306778" w:rsidP="00306778">
      <w:r>
        <w:t>We would like to respond to some of the questions that Members have asked.</w:t>
      </w:r>
    </w:p>
    <w:p w:rsidR="00306778" w:rsidRDefault="00306778" w:rsidP="00306778"/>
    <w:p w:rsidR="00306778" w:rsidRPr="00144D7B" w:rsidRDefault="00306778" w:rsidP="00306778">
      <w:r w:rsidRPr="00144D7B">
        <w:t>As to the questions of Angola, and Article 35</w:t>
      </w:r>
      <w:r>
        <w:t xml:space="preserve"> of the ACTA on</w:t>
      </w:r>
      <w:r w:rsidRPr="00144D7B">
        <w:t xml:space="preserve"> capacity building and technical assistance, </w:t>
      </w:r>
      <w:r>
        <w:t>Angola identified the issue</w:t>
      </w:r>
      <w:r w:rsidRPr="00144D7B">
        <w:t xml:space="preserve"> of infrastructure and cost.  You are correct that Artic</w:t>
      </w:r>
      <w:r>
        <w:t>le 35 provides for capacity building and technical assistance</w:t>
      </w:r>
      <w:r w:rsidRPr="00144D7B">
        <w:t xml:space="preserve"> for Member and prospective Members.</w:t>
      </w:r>
    </w:p>
    <w:p w:rsidR="00306778" w:rsidRDefault="00306778" w:rsidP="00306778"/>
    <w:p w:rsidR="00306778" w:rsidRDefault="00306778" w:rsidP="00306778">
      <w:r w:rsidRPr="00144D7B">
        <w:t>As to Article 14.2</w:t>
      </w:r>
      <w:r>
        <w:t xml:space="preserve"> of the ACTA, on</w:t>
      </w:r>
      <w:r w:rsidRPr="00144D7B">
        <w:t xml:space="preserve"> small consignments and personal luggage, Article 14.2 was taken from</w:t>
      </w:r>
      <w:r>
        <w:t xml:space="preserve"> Article 60 of the TRIPS Agreement</w:t>
      </w:r>
      <w:r w:rsidRPr="00144D7B">
        <w:t>.</w:t>
      </w:r>
    </w:p>
    <w:p w:rsidR="00306778" w:rsidRPr="00144D7B" w:rsidRDefault="00306778" w:rsidP="00306778"/>
    <w:p w:rsidR="00306778" w:rsidRPr="00963F82" w:rsidRDefault="00306778" w:rsidP="00306778">
      <w:r w:rsidRPr="00963F82">
        <w:t xml:space="preserve">As to the </w:t>
      </w:r>
      <w:r>
        <w:t xml:space="preserve">WIPO </w:t>
      </w:r>
      <w:r w:rsidRPr="00963F82">
        <w:t>WCT and WPPT, ACTA implements key provisions of those treaties.</w:t>
      </w:r>
    </w:p>
    <w:p w:rsidR="005F3448" w:rsidRDefault="005F3448" w:rsidP="00306778"/>
    <w:p w:rsidR="00306778" w:rsidRPr="00963F82" w:rsidRDefault="00306778" w:rsidP="00306778">
      <w:r>
        <w:t xml:space="preserve">Regarding </w:t>
      </w:r>
      <w:r w:rsidRPr="00963F82">
        <w:t>Brazil</w:t>
      </w:r>
      <w:r>
        <w:t>’s intervention</w:t>
      </w:r>
      <w:r w:rsidRPr="00963F82">
        <w:t>, we</w:t>
      </w:r>
      <w:r>
        <w:t xml:space="preserve"> welcome Brazils confirmation that</w:t>
      </w:r>
      <w:r w:rsidRPr="00963F82">
        <w:t xml:space="preserve"> the title of the agend</w:t>
      </w:r>
      <w:r>
        <w:t>a item as originally proposed is acceptable to Brazil.</w:t>
      </w:r>
    </w:p>
    <w:p w:rsidR="00306778" w:rsidRDefault="00306778" w:rsidP="00306778">
      <w:pPr>
        <w:pStyle w:val="ListParagraph"/>
        <w:rPr>
          <w:rFonts w:ascii="Times New Roman" w:hAnsi="Times New Roman"/>
          <w:sz w:val="24"/>
          <w:szCs w:val="24"/>
        </w:rPr>
      </w:pPr>
    </w:p>
    <w:p w:rsidR="00306778" w:rsidRPr="00963F82" w:rsidRDefault="00306778" w:rsidP="00306778">
      <w:r w:rsidRPr="00963F82">
        <w:t xml:space="preserve">The concerns raised regarding “TRIPS plus” provisions is somewhat confusing.  </w:t>
      </w:r>
    </w:p>
    <w:p w:rsidR="00306778" w:rsidRPr="00CE6BBB" w:rsidRDefault="00306778" w:rsidP="00306778">
      <w:pPr>
        <w:pStyle w:val="ListParagraph"/>
        <w:rPr>
          <w:rFonts w:ascii="Times New Roman" w:hAnsi="Times New Roman"/>
          <w:sz w:val="24"/>
          <w:szCs w:val="24"/>
        </w:rPr>
      </w:pPr>
    </w:p>
    <w:p w:rsidR="00306778" w:rsidRPr="00963F82" w:rsidRDefault="00306778" w:rsidP="00306778">
      <w:r w:rsidRPr="00963F82">
        <w:t>The TRIPS Agreement is a minimum standards agreement, and Article 1 of the TRIPS Agreement provides that Members “may…implement in their law more extensive protection than is required by this Agreement, provided that such protection does not contravene the provisions of this Agreement.”</w:t>
      </w:r>
    </w:p>
    <w:p w:rsidR="00306778" w:rsidRPr="00CE6BBB" w:rsidRDefault="00306778" w:rsidP="00306778">
      <w:pPr>
        <w:pStyle w:val="ListParagraph"/>
        <w:rPr>
          <w:rFonts w:ascii="Times New Roman" w:hAnsi="Times New Roman"/>
          <w:sz w:val="24"/>
          <w:szCs w:val="24"/>
        </w:rPr>
      </w:pPr>
    </w:p>
    <w:p w:rsidR="00306778" w:rsidRPr="00963F82" w:rsidRDefault="00306778" w:rsidP="00306778">
      <w:r w:rsidRPr="00963F82">
        <w:t>Many Members have chosen to do so, many of which are not ACTA participants.  In fact, several WTO Members have adopted ACTA provisions in their domestic law.  Again, many of those Members are not ACTA participants.</w:t>
      </w:r>
    </w:p>
    <w:p w:rsidR="00306778" w:rsidRPr="00CE6BBB" w:rsidRDefault="00306778" w:rsidP="00306778">
      <w:pPr>
        <w:pStyle w:val="ListParagraph"/>
        <w:rPr>
          <w:rFonts w:ascii="Times New Roman" w:hAnsi="Times New Roman"/>
          <w:sz w:val="24"/>
          <w:szCs w:val="24"/>
        </w:rPr>
      </w:pPr>
    </w:p>
    <w:p w:rsidR="00306778" w:rsidRPr="00963F82" w:rsidRDefault="00306778" w:rsidP="00306778">
      <w:r w:rsidRPr="00963F82">
        <w:t>It is curious that Members oppose ACTA because it is “TRIPS plus” on the one hand, but implement ACTA provisions in their law on the other.</w:t>
      </w:r>
    </w:p>
    <w:p w:rsidR="00306778" w:rsidRPr="00DB07ED" w:rsidRDefault="00306778" w:rsidP="00306778">
      <w:pPr>
        <w:rPr>
          <w:b/>
          <w:i/>
        </w:rPr>
      </w:pPr>
    </w:p>
    <w:p w:rsidR="00306778" w:rsidRPr="00963F82" w:rsidRDefault="005F3448" w:rsidP="00306778">
      <w:r>
        <w:t xml:space="preserve">Regarding </w:t>
      </w:r>
      <w:r w:rsidRPr="005F3448">
        <w:rPr>
          <w:rFonts w:ascii="Times New Roman Italic" w:hAnsi="Times New Roman Italic"/>
          <w:i/>
        </w:rPr>
        <w:t>ex o</w:t>
      </w:r>
      <w:r w:rsidR="00306778" w:rsidRPr="005F3448">
        <w:rPr>
          <w:rFonts w:ascii="Times New Roman Italic" w:hAnsi="Times New Roman Italic"/>
          <w:i/>
        </w:rPr>
        <w:t>fficio</w:t>
      </w:r>
      <w:r w:rsidR="00306778" w:rsidRPr="00963F82">
        <w:t xml:space="preserve"> authority</w:t>
      </w:r>
      <w:r w:rsidR="00306778" w:rsidRPr="00963F82">
        <w:rPr>
          <w:b/>
          <w:i/>
        </w:rPr>
        <w:t xml:space="preserve">, </w:t>
      </w:r>
      <w:r w:rsidR="00306778" w:rsidRPr="00963F82">
        <w:t>for example, Article 16(1)(a) of ACTA requires border enforcement authorities be empowered to act on their own initiative against both imports and exports of counterfeit and trademark goods.</w:t>
      </w:r>
    </w:p>
    <w:p w:rsidR="00306778" w:rsidRPr="00DB07ED" w:rsidRDefault="00306778" w:rsidP="00306778"/>
    <w:p w:rsidR="00306778" w:rsidRPr="00CE6BBB" w:rsidRDefault="00306778" w:rsidP="00306778">
      <w:pPr>
        <w:pStyle w:val="PlainText"/>
        <w:rPr>
          <w:rFonts w:ascii="Times New Roman" w:hAnsi="Times New Roman" w:cs="Times New Roman"/>
          <w:sz w:val="24"/>
          <w:szCs w:val="24"/>
        </w:rPr>
      </w:pPr>
      <w:r>
        <w:rPr>
          <w:rFonts w:ascii="Times New Roman" w:hAnsi="Times New Roman" w:cs="Times New Roman"/>
          <w:sz w:val="24"/>
          <w:szCs w:val="24"/>
        </w:rPr>
        <w:t>For instance,</w:t>
      </w:r>
      <w:r w:rsidRPr="00963F82">
        <w:rPr>
          <w:rFonts w:ascii="Times New Roman" w:hAnsi="Times New Roman" w:cs="Times New Roman"/>
          <w:sz w:val="24"/>
          <w:szCs w:val="24"/>
        </w:rPr>
        <w:t xml:space="preserve"> the India</w:t>
      </w:r>
      <w:r w:rsidRPr="00CE6BBB">
        <w:rPr>
          <w:rFonts w:ascii="Times New Roman" w:hAnsi="Times New Roman" w:cs="Times New Roman"/>
          <w:sz w:val="24"/>
          <w:szCs w:val="24"/>
        </w:rPr>
        <w:t xml:space="preserve"> Customs Department can </w:t>
      </w:r>
      <w:r w:rsidRPr="00552BDD">
        <w:rPr>
          <w:rFonts w:ascii="Times New Roman" w:hAnsi="Times New Roman" w:cs="Times New Roman"/>
          <w:i/>
          <w:sz w:val="24"/>
          <w:szCs w:val="24"/>
        </w:rPr>
        <w:t>ex-officio</w:t>
      </w:r>
      <w:r>
        <w:rPr>
          <w:rFonts w:ascii="Times New Roman" w:hAnsi="Times New Roman" w:cs="Times New Roman"/>
          <w:sz w:val="24"/>
          <w:szCs w:val="24"/>
        </w:rPr>
        <w:t xml:space="preserve"> </w:t>
      </w:r>
      <w:r w:rsidRPr="00CE6BBB">
        <w:rPr>
          <w:rFonts w:ascii="Times New Roman" w:hAnsi="Times New Roman" w:cs="Times New Roman"/>
          <w:sz w:val="24"/>
          <w:szCs w:val="24"/>
        </w:rPr>
        <w:t>suspend the clearance of the alleged counterfeit goods if the department has prima-facie evidence or reasonable grounds to believe the goods to be counterfeit</w:t>
      </w:r>
      <w:r>
        <w:rPr>
          <w:rFonts w:ascii="Times New Roman" w:hAnsi="Times New Roman" w:cs="Times New Roman"/>
          <w:sz w:val="24"/>
          <w:szCs w:val="24"/>
        </w:rPr>
        <w:t xml:space="preserve">, which is provided in </w:t>
      </w:r>
      <w:r w:rsidR="00404129">
        <w:rPr>
          <w:rFonts w:ascii="Times New Roman" w:hAnsi="Times New Roman" w:cs="Times New Roman"/>
          <w:sz w:val="24"/>
          <w:szCs w:val="24"/>
        </w:rPr>
        <w:t>Notification</w:t>
      </w:r>
      <w:r>
        <w:rPr>
          <w:rFonts w:ascii="Times New Roman" w:hAnsi="Times New Roman" w:cs="Times New Roman"/>
          <w:sz w:val="24"/>
          <w:szCs w:val="24"/>
        </w:rPr>
        <w:t xml:space="preserve"> No. 47/2007 – Cus. (N.T.) of 2007</w:t>
      </w:r>
      <w:r w:rsidRPr="00CE6BBB">
        <w:rPr>
          <w:rFonts w:ascii="Times New Roman" w:hAnsi="Times New Roman" w:cs="Times New Roman"/>
          <w:sz w:val="24"/>
          <w:szCs w:val="24"/>
        </w:rPr>
        <w:t>.</w:t>
      </w:r>
    </w:p>
    <w:p w:rsidR="00306778" w:rsidRPr="00552BDD" w:rsidRDefault="00306778" w:rsidP="00306778">
      <w:pPr>
        <w:pStyle w:val="PlainText"/>
        <w:rPr>
          <w:rFonts w:ascii="Times New Roman" w:hAnsi="Times New Roman" w:cs="Times New Roman"/>
          <w:sz w:val="24"/>
          <w:szCs w:val="24"/>
        </w:rPr>
      </w:pPr>
    </w:p>
    <w:p w:rsidR="00306778" w:rsidRDefault="00306778" w:rsidP="00306778">
      <w:r w:rsidRPr="00963F82">
        <w:t>As the delegate confirmed yesterday under item C</w:t>
      </w:r>
      <w:r>
        <w:t xml:space="preserve"> of the agenda</w:t>
      </w:r>
      <w:r w:rsidRPr="00963F82">
        <w:t xml:space="preserve">, Chinese Law, specifically Article 16 of the Regulation on the Customs Protection of Intellectual Property Rights, also provides for </w:t>
      </w:r>
      <w:r w:rsidRPr="00963F82">
        <w:rPr>
          <w:i/>
        </w:rPr>
        <w:t>ex officio</w:t>
      </w:r>
      <w:r w:rsidRPr="00963F82">
        <w:t xml:space="preserve"> action at the border, as long as the right holder registers its intellectual property with Customs and follows certain procedures.</w:t>
      </w:r>
    </w:p>
    <w:p w:rsidR="00306778" w:rsidRDefault="00306778" w:rsidP="00306778"/>
    <w:p w:rsidR="00306778" w:rsidRDefault="00306778" w:rsidP="00306778">
      <w:r>
        <w:t>Likewise, WTO Members have implemented provision on damages and statutory damages that closely follow those in ACTA.</w:t>
      </w:r>
    </w:p>
    <w:p w:rsidR="00306778" w:rsidRDefault="00306778" w:rsidP="00306778"/>
    <w:p w:rsidR="00306778" w:rsidRDefault="00306778" w:rsidP="00306778">
      <w:r>
        <w:t>China’s law, for instance tracks ACTA Article 9 on determining the amount of damage suffered by the right holder.  Article 65 of China’s Patent Law, Article 56 of China’s Trademark Law and Article 49 of China’s Copyright law align closely with ACTA Article 9.</w:t>
      </w:r>
    </w:p>
    <w:p w:rsidR="00306778" w:rsidRDefault="00306778" w:rsidP="00306778"/>
    <w:p w:rsidR="00306778" w:rsidRPr="00963F82" w:rsidRDefault="00306778" w:rsidP="00306778">
      <w:r>
        <w:t>The same provisions of Chinese law also have provisions on pre-established and statutory damages like those contained in ACTA Article 9.3</w:t>
      </w:r>
    </w:p>
    <w:p w:rsidR="00306778" w:rsidRPr="00552BDD" w:rsidRDefault="00306778" w:rsidP="00306778"/>
    <w:p w:rsidR="00306778" w:rsidRPr="00611CCA" w:rsidRDefault="00306778" w:rsidP="00306778">
      <w:pPr>
        <w:pStyle w:val="ListParagraph"/>
        <w:autoSpaceDN w:val="0"/>
        <w:ind w:left="1080"/>
        <w:contextualSpacing w:val="0"/>
        <w:rPr>
          <w:rFonts w:ascii="Times New Roman" w:hAnsi="Times New Roman"/>
          <w:color w:val="000000"/>
          <w:sz w:val="24"/>
          <w:szCs w:val="24"/>
        </w:rPr>
      </w:pPr>
    </w:p>
    <w:p w:rsidR="00306778" w:rsidRPr="009576DE" w:rsidRDefault="00306778" w:rsidP="00306778">
      <w:r>
        <w:rPr>
          <w:b/>
        </w:rPr>
        <w:t xml:space="preserve">Q.  </w:t>
      </w:r>
      <w:r w:rsidRPr="009576DE">
        <w:rPr>
          <w:b/>
        </w:rPr>
        <w:t>OBSERVER STATUS FOR INTERNATIONAL INTERGOVERNMENTAL ORGANIZATIONS</w:t>
      </w:r>
    </w:p>
    <w:p w:rsidR="00306778" w:rsidRPr="009576DE"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Pr>
          <w:i/>
          <w:iCs/>
        </w:rPr>
      </w:pPr>
    </w:p>
    <w:p w:rsidR="00306778"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outlineLvl w:val="0"/>
        <w:rPr>
          <w:iCs/>
        </w:rPr>
      </w:pPr>
      <w:r>
        <w:rPr>
          <w:iCs/>
        </w:rPr>
        <w:t>The United States supports the proposal by Nigeria, Angola, Cameroon, the African Group and others to include OAPI and ARIPO as permanent observers.</w:t>
      </w:r>
    </w:p>
    <w:p w:rsidR="00306778" w:rsidRPr="009576DE"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Cs/>
        </w:rPr>
      </w:pPr>
    </w:p>
    <w:p w:rsidR="00306778" w:rsidRPr="00593051"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Cs/>
        </w:rPr>
      </w:pPr>
      <w:r w:rsidRPr="009576DE">
        <w:rPr>
          <w:iCs/>
        </w:rPr>
        <w:t>The U.S. cannot join</w:t>
      </w:r>
      <w:r>
        <w:rPr>
          <w:iCs/>
        </w:rPr>
        <w:t xml:space="preserve"> the Members seeking to include the CBD as an observer</w:t>
      </w:r>
    </w:p>
    <w:p w:rsidR="00306778" w:rsidRPr="00543525" w:rsidRDefault="00306778" w:rsidP="003067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306778" w:rsidRPr="00543525" w:rsidRDefault="00306778" w:rsidP="00306778">
      <w:pPr>
        <w:outlineLvl w:val="0"/>
      </w:pPr>
    </w:p>
    <w:p w:rsidR="004978AD" w:rsidRDefault="004978AD"/>
    <w:sectPr w:rsidR="004978AD" w:rsidSect="004978AD">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34AB" w:rsidRDefault="007634AB" w:rsidP="009623F8">
      <w:r>
        <w:separator/>
      </w:r>
    </w:p>
  </w:endnote>
  <w:endnote w:type="continuationSeparator" w:id="0">
    <w:p w:rsidR="007634AB" w:rsidRDefault="007634AB" w:rsidP="009623F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New Roman Bold">
    <w:panose1 w:val="02020803070505020304"/>
    <w:charset w:val="00"/>
    <w:family w:val="auto"/>
    <w:pitch w:val="variable"/>
    <w:sig w:usb0="00000003" w:usb1="00000000" w:usb2="00000000" w:usb3="00000000" w:csb0="00000001" w:csb1="00000000"/>
  </w:font>
  <w:font w:name="Times New Roman Italic">
    <w:panose1 w:val="02020503050405090304"/>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8AD" w:rsidRDefault="009623F8" w:rsidP="004978AD">
    <w:pPr>
      <w:pStyle w:val="Footer"/>
      <w:framePr w:wrap="around" w:vAnchor="text" w:hAnchor="margin" w:xAlign="right" w:y="1"/>
      <w:rPr>
        <w:rStyle w:val="PageNumber"/>
      </w:rPr>
    </w:pPr>
    <w:r>
      <w:rPr>
        <w:rStyle w:val="PageNumber"/>
      </w:rPr>
      <w:fldChar w:fldCharType="begin"/>
    </w:r>
    <w:r w:rsidR="004978AD">
      <w:rPr>
        <w:rStyle w:val="PageNumber"/>
      </w:rPr>
      <w:instrText xml:space="preserve">PAGE  </w:instrText>
    </w:r>
    <w:r>
      <w:rPr>
        <w:rStyle w:val="PageNumber"/>
      </w:rPr>
      <w:fldChar w:fldCharType="end"/>
    </w:r>
  </w:p>
  <w:p w:rsidR="004978AD" w:rsidRDefault="004978AD" w:rsidP="004978A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8AD" w:rsidRDefault="009623F8" w:rsidP="004978AD">
    <w:pPr>
      <w:pStyle w:val="Footer"/>
      <w:ind w:right="360"/>
      <w:jc w:val="center"/>
    </w:pPr>
    <w:r>
      <w:rPr>
        <w:rStyle w:val="PageNumber"/>
      </w:rPr>
      <w:fldChar w:fldCharType="begin"/>
    </w:r>
    <w:r w:rsidR="004978AD">
      <w:rPr>
        <w:rStyle w:val="PageNumber"/>
      </w:rPr>
      <w:instrText xml:space="preserve"> PAGE </w:instrText>
    </w:r>
    <w:r>
      <w:rPr>
        <w:rStyle w:val="PageNumber"/>
      </w:rPr>
      <w:fldChar w:fldCharType="separate"/>
    </w:r>
    <w:r w:rsidR="007634AB">
      <w:rPr>
        <w:rStyle w:val="PageNumber"/>
        <w:noProof/>
      </w:rPr>
      <w:t>1</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34AB" w:rsidRDefault="007634AB" w:rsidP="009623F8">
      <w:r>
        <w:separator/>
      </w:r>
    </w:p>
  </w:footnote>
  <w:footnote w:type="continuationSeparator" w:id="0">
    <w:p w:rsidR="007634AB" w:rsidRDefault="007634AB" w:rsidP="009623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8AD" w:rsidRPr="002374A6" w:rsidRDefault="004978AD" w:rsidP="004978AD">
    <w:pPr>
      <w:pStyle w:val="Header"/>
      <w:jc w:val="center"/>
      <w:rPr>
        <w: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B4B52"/>
    <w:multiLevelType w:val="hybridMultilevel"/>
    <w:tmpl w:val="96281E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EAB7546"/>
    <w:multiLevelType w:val="hybridMultilevel"/>
    <w:tmpl w:val="3370A92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F013EDB"/>
    <w:multiLevelType w:val="hybridMultilevel"/>
    <w:tmpl w:val="0D7A7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8161D1"/>
    <w:multiLevelType w:val="hybridMultilevel"/>
    <w:tmpl w:val="C3449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B904CF"/>
    <w:multiLevelType w:val="hybridMultilevel"/>
    <w:tmpl w:val="3AF8AF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6363A96"/>
    <w:multiLevelType w:val="hybridMultilevel"/>
    <w:tmpl w:val="9ACAB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DD0085"/>
    <w:multiLevelType w:val="hybridMultilevel"/>
    <w:tmpl w:val="2F7888F8"/>
    <w:lvl w:ilvl="0" w:tplc="A6ACB10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6B0551F"/>
    <w:multiLevelType w:val="hybridMultilevel"/>
    <w:tmpl w:val="5D3E7F5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75941BA"/>
    <w:multiLevelType w:val="hybridMultilevel"/>
    <w:tmpl w:val="F56A641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7C61C20"/>
    <w:multiLevelType w:val="hybridMultilevel"/>
    <w:tmpl w:val="77A8F150"/>
    <w:lvl w:ilvl="0" w:tplc="409CF77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98E717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nsid w:val="2AC20DDF"/>
    <w:multiLevelType w:val="hybridMultilevel"/>
    <w:tmpl w:val="C4A21A10"/>
    <w:lvl w:ilvl="0" w:tplc="868E5B50">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1926EA8"/>
    <w:multiLevelType w:val="hybridMultilevel"/>
    <w:tmpl w:val="F10029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BE6174A"/>
    <w:multiLevelType w:val="hybridMultilevel"/>
    <w:tmpl w:val="1334295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C292D1B"/>
    <w:multiLevelType w:val="multilevel"/>
    <w:tmpl w:val="60C000E8"/>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nsid w:val="40682798"/>
    <w:multiLevelType w:val="hybridMultilevel"/>
    <w:tmpl w:val="57C230DA"/>
    <w:lvl w:ilvl="0" w:tplc="409CF77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1842DD4"/>
    <w:multiLevelType w:val="hybridMultilevel"/>
    <w:tmpl w:val="1EC8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61F4BD7"/>
    <w:multiLevelType w:val="hybridMultilevel"/>
    <w:tmpl w:val="6B6C67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6AA3B74"/>
    <w:multiLevelType w:val="hybridMultilevel"/>
    <w:tmpl w:val="FFE0C2F4"/>
    <w:lvl w:ilvl="0" w:tplc="04090001">
      <w:start w:val="99"/>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6D92F3C"/>
    <w:multiLevelType w:val="hybridMultilevel"/>
    <w:tmpl w:val="9C7E1A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E16AAE"/>
    <w:multiLevelType w:val="hybridMultilevel"/>
    <w:tmpl w:val="A336C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FD00B4"/>
    <w:multiLevelType w:val="hybridMultilevel"/>
    <w:tmpl w:val="5DDE6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DAE41D2"/>
    <w:multiLevelType w:val="hybridMultilevel"/>
    <w:tmpl w:val="BA969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E763829"/>
    <w:multiLevelType w:val="hybridMultilevel"/>
    <w:tmpl w:val="D74C310C"/>
    <w:lvl w:ilvl="0" w:tplc="0409000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3577A73"/>
    <w:multiLevelType w:val="hybridMultilevel"/>
    <w:tmpl w:val="BD3E75E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nsid w:val="536D55CB"/>
    <w:multiLevelType w:val="hybridMultilevel"/>
    <w:tmpl w:val="C36490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3BF1C87"/>
    <w:multiLevelType w:val="hybridMultilevel"/>
    <w:tmpl w:val="00307CE0"/>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C462EB3"/>
    <w:multiLevelType w:val="hybridMultilevel"/>
    <w:tmpl w:val="77603CF0"/>
    <w:lvl w:ilvl="0" w:tplc="ECF87486">
      <w:start w:val="1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19148BE"/>
    <w:multiLevelType w:val="hybridMultilevel"/>
    <w:tmpl w:val="60C000E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33E02F5"/>
    <w:multiLevelType w:val="hybridMultilevel"/>
    <w:tmpl w:val="49EE8AEE"/>
    <w:lvl w:ilvl="0" w:tplc="A6ACB10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7173A32"/>
    <w:multiLevelType w:val="hybridMultilevel"/>
    <w:tmpl w:val="5678B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931D18"/>
    <w:multiLevelType w:val="hybridMultilevel"/>
    <w:tmpl w:val="335A58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68EE3746"/>
    <w:multiLevelType w:val="hybridMultilevel"/>
    <w:tmpl w:val="8702E1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93325DD"/>
    <w:multiLevelType w:val="hybridMultilevel"/>
    <w:tmpl w:val="757A3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07C1A4A"/>
    <w:multiLevelType w:val="hybridMultilevel"/>
    <w:tmpl w:val="91922BD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D7B2459"/>
    <w:multiLevelType w:val="hybridMultilevel"/>
    <w:tmpl w:val="227091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7E636322"/>
    <w:multiLevelType w:val="hybridMultilevel"/>
    <w:tmpl w:val="A588C9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num>
  <w:num w:numId="2">
    <w:abstractNumId w:val="9"/>
  </w:num>
  <w:num w:numId="3">
    <w:abstractNumId w:val="24"/>
  </w:num>
  <w:num w:numId="4">
    <w:abstractNumId w:val="10"/>
  </w:num>
  <w:num w:numId="5">
    <w:abstractNumId w:val="17"/>
  </w:num>
  <w:num w:numId="6">
    <w:abstractNumId w:val="11"/>
  </w:num>
  <w:num w:numId="7">
    <w:abstractNumId w:val="34"/>
  </w:num>
  <w:num w:numId="8">
    <w:abstractNumId w:val="16"/>
  </w:num>
  <w:num w:numId="9">
    <w:abstractNumId w:val="15"/>
  </w:num>
  <w:num w:numId="10">
    <w:abstractNumId w:val="23"/>
  </w:num>
  <w:num w:numId="11">
    <w:abstractNumId w:val="18"/>
  </w:num>
  <w:num w:numId="12">
    <w:abstractNumId w:val="12"/>
  </w:num>
  <w:num w:numId="13">
    <w:abstractNumId w:val="4"/>
  </w:num>
  <w:num w:numId="14">
    <w:abstractNumId w:val="30"/>
  </w:num>
  <w:num w:numId="15">
    <w:abstractNumId w:val="8"/>
  </w:num>
  <w:num w:numId="16">
    <w:abstractNumId w:val="36"/>
  </w:num>
  <w:num w:numId="17">
    <w:abstractNumId w:val="35"/>
  </w:num>
  <w:num w:numId="18">
    <w:abstractNumId w:val="25"/>
  </w:num>
  <w:num w:numId="19">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3"/>
  </w:num>
  <w:num w:numId="22">
    <w:abstractNumId w:val="26"/>
  </w:num>
  <w:num w:numId="23">
    <w:abstractNumId w:val="27"/>
  </w:num>
  <w:num w:numId="24">
    <w:abstractNumId w:val="28"/>
  </w:num>
  <w:num w:numId="25">
    <w:abstractNumId w:val="0"/>
  </w:num>
  <w:num w:numId="26">
    <w:abstractNumId w:val="20"/>
  </w:num>
  <w:num w:numId="27">
    <w:abstractNumId w:val="2"/>
  </w:num>
  <w:num w:numId="28">
    <w:abstractNumId w:val="21"/>
  </w:num>
  <w:num w:numId="29">
    <w:abstractNumId w:val="1"/>
  </w:num>
  <w:num w:numId="30">
    <w:abstractNumId w:val="33"/>
  </w:num>
  <w:num w:numId="31">
    <w:abstractNumId w:val="22"/>
  </w:num>
  <w:num w:numId="32">
    <w:abstractNumId w:val="7"/>
  </w:num>
  <w:num w:numId="33">
    <w:abstractNumId w:val="19"/>
  </w:num>
  <w:num w:numId="34">
    <w:abstractNumId w:val="32"/>
  </w:num>
  <w:num w:numId="35">
    <w:abstractNumId w:val="29"/>
  </w:num>
  <w:num w:numId="36">
    <w:abstractNumId w:val="14"/>
  </w:num>
  <w:num w:numId="3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306778"/>
    <w:rsid w:val="00306778"/>
    <w:rsid w:val="003D7E83"/>
    <w:rsid w:val="00404129"/>
    <w:rsid w:val="004978AD"/>
    <w:rsid w:val="005F3448"/>
    <w:rsid w:val="007634AB"/>
    <w:rsid w:val="009623F8"/>
    <w:rsid w:val="00A607E5"/>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778"/>
    <w:pPr>
      <w:widowControl w:val="0"/>
      <w:autoSpaceDE w:val="0"/>
      <w:autoSpaceDN w:val="0"/>
      <w:adjustRightInd w:val="0"/>
    </w:pPr>
    <w:rPr>
      <w:rFonts w:ascii="Times New Roman" w:eastAsia="Times New Roman" w:hAnsi="Times New Roman" w:cs="Times New Roman"/>
    </w:rPr>
  </w:style>
  <w:style w:type="paragraph" w:styleId="Heading1">
    <w:name w:val="heading 1"/>
    <w:basedOn w:val="Normal"/>
    <w:next w:val="Heading2"/>
    <w:link w:val="Heading1Char"/>
    <w:qFormat/>
    <w:rsid w:val="00306778"/>
    <w:pPr>
      <w:keepNext/>
      <w:keepLines/>
      <w:widowControl/>
      <w:tabs>
        <w:tab w:val="num" w:pos="720"/>
      </w:tabs>
      <w:autoSpaceDE/>
      <w:autoSpaceDN/>
      <w:adjustRightInd/>
      <w:spacing w:after="240"/>
      <w:ind w:left="720" w:hanging="720"/>
      <w:jc w:val="both"/>
      <w:outlineLvl w:val="0"/>
    </w:pPr>
    <w:rPr>
      <w:b/>
      <w:caps/>
      <w:kern w:val="32"/>
      <w:sz w:val="22"/>
      <w:szCs w:val="22"/>
      <w:lang w:val="en-GB"/>
    </w:rPr>
  </w:style>
  <w:style w:type="paragraph" w:styleId="Heading2">
    <w:name w:val="heading 2"/>
    <w:basedOn w:val="Normal"/>
    <w:next w:val="Normal"/>
    <w:link w:val="Heading2Char"/>
    <w:qFormat/>
    <w:rsid w:val="00306778"/>
    <w:pPr>
      <w:keepNext/>
      <w:spacing w:before="240" w:after="60"/>
      <w:outlineLvl w:val="1"/>
    </w:pPr>
    <w:rPr>
      <w:rFonts w:ascii="Arial" w:hAnsi="Arial" w:cs="Arial"/>
      <w:b/>
      <w:bCs/>
      <w:i/>
      <w:iCs/>
      <w:sz w:val="28"/>
      <w:szCs w:val="28"/>
    </w:rPr>
  </w:style>
  <w:style w:type="paragraph" w:styleId="Heading3">
    <w:name w:val="heading 3"/>
    <w:basedOn w:val="Normal"/>
    <w:next w:val="Heading4"/>
    <w:link w:val="Heading3Char"/>
    <w:qFormat/>
    <w:rsid w:val="00306778"/>
    <w:pPr>
      <w:keepNext/>
      <w:keepLines/>
      <w:widowControl/>
      <w:tabs>
        <w:tab w:val="num" w:pos="720"/>
      </w:tabs>
      <w:autoSpaceDE/>
      <w:autoSpaceDN/>
      <w:adjustRightInd/>
      <w:spacing w:after="240"/>
      <w:ind w:left="720" w:hanging="720"/>
      <w:jc w:val="both"/>
      <w:outlineLvl w:val="2"/>
    </w:pPr>
    <w:rPr>
      <w:b/>
      <w:sz w:val="22"/>
      <w:szCs w:val="20"/>
      <w:lang w:val="en-GB"/>
    </w:rPr>
  </w:style>
  <w:style w:type="paragraph" w:styleId="Heading4">
    <w:name w:val="heading 4"/>
    <w:basedOn w:val="Normal"/>
    <w:next w:val="Heading5"/>
    <w:link w:val="Heading4Char"/>
    <w:qFormat/>
    <w:rsid w:val="00306778"/>
    <w:pPr>
      <w:keepNext/>
      <w:keepLines/>
      <w:widowControl/>
      <w:tabs>
        <w:tab w:val="num" w:pos="720"/>
      </w:tabs>
      <w:autoSpaceDE/>
      <w:autoSpaceDN/>
      <w:adjustRightInd/>
      <w:spacing w:after="240"/>
      <w:ind w:left="720" w:hanging="720"/>
      <w:jc w:val="both"/>
      <w:outlineLvl w:val="3"/>
    </w:pPr>
    <w:rPr>
      <w:sz w:val="22"/>
      <w:szCs w:val="20"/>
      <w:lang w:val="en-GB"/>
    </w:rPr>
  </w:style>
  <w:style w:type="paragraph" w:styleId="Heading5">
    <w:name w:val="heading 5"/>
    <w:basedOn w:val="Normal"/>
    <w:next w:val="BodyText"/>
    <w:link w:val="Heading5Char"/>
    <w:qFormat/>
    <w:rsid w:val="00306778"/>
    <w:pPr>
      <w:keepNext/>
      <w:keepLines/>
      <w:widowControl/>
      <w:tabs>
        <w:tab w:val="num" w:pos="720"/>
      </w:tabs>
      <w:autoSpaceDE/>
      <w:autoSpaceDN/>
      <w:adjustRightInd/>
      <w:spacing w:after="240"/>
      <w:ind w:left="720" w:hanging="720"/>
      <w:jc w:val="both"/>
      <w:outlineLvl w:val="4"/>
    </w:pPr>
    <w:rPr>
      <w:i/>
      <w:sz w:val="22"/>
      <w:szCs w:val="20"/>
      <w:lang w:val="en-GB"/>
    </w:rPr>
  </w:style>
  <w:style w:type="paragraph" w:styleId="Heading6">
    <w:name w:val="heading 6"/>
    <w:basedOn w:val="Normal"/>
    <w:next w:val="Normal"/>
    <w:link w:val="Heading6Char"/>
    <w:qFormat/>
    <w:rsid w:val="00306778"/>
    <w:pPr>
      <w:outlineLvl w:val="5"/>
    </w:pPr>
  </w:style>
  <w:style w:type="paragraph" w:styleId="Heading7">
    <w:name w:val="heading 7"/>
    <w:basedOn w:val="Normal"/>
    <w:next w:val="Normal"/>
    <w:link w:val="Heading7Char"/>
    <w:qFormat/>
    <w:rsid w:val="00306778"/>
    <w:pPr>
      <w:spacing w:before="240" w:after="60"/>
      <w:outlineLvl w:val="6"/>
    </w:pPr>
  </w:style>
  <w:style w:type="paragraph" w:styleId="Heading8">
    <w:name w:val="heading 8"/>
    <w:basedOn w:val="Normal"/>
    <w:next w:val="Normal"/>
    <w:link w:val="Heading8Char"/>
    <w:qFormat/>
    <w:rsid w:val="00306778"/>
    <w:pPr>
      <w:spacing w:before="240" w:after="60"/>
      <w:outlineLvl w:val="7"/>
    </w:pPr>
    <w:rPr>
      <w:i/>
      <w:iCs/>
    </w:rPr>
  </w:style>
  <w:style w:type="paragraph" w:styleId="Heading9">
    <w:name w:val="heading 9"/>
    <w:basedOn w:val="Normal"/>
    <w:next w:val="Normal"/>
    <w:link w:val="Heading9Char"/>
    <w:qFormat/>
    <w:rsid w:val="00306778"/>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6778"/>
    <w:rPr>
      <w:rFonts w:ascii="Times New Roman" w:eastAsia="Times New Roman" w:hAnsi="Times New Roman" w:cs="Times New Roman"/>
      <w:b/>
      <w:caps/>
      <w:kern w:val="32"/>
      <w:sz w:val="22"/>
      <w:szCs w:val="22"/>
      <w:lang w:val="en-GB"/>
    </w:rPr>
  </w:style>
  <w:style w:type="character" w:customStyle="1" w:styleId="Heading2Char">
    <w:name w:val="Heading 2 Char"/>
    <w:basedOn w:val="DefaultParagraphFont"/>
    <w:link w:val="Heading2"/>
    <w:rsid w:val="00306778"/>
    <w:rPr>
      <w:rFonts w:ascii="Arial" w:eastAsia="Times New Roman" w:hAnsi="Arial" w:cs="Arial"/>
      <w:b/>
      <w:bCs/>
      <w:i/>
      <w:iCs/>
      <w:sz w:val="28"/>
      <w:szCs w:val="28"/>
    </w:rPr>
  </w:style>
  <w:style w:type="character" w:customStyle="1" w:styleId="Heading3Char">
    <w:name w:val="Heading 3 Char"/>
    <w:basedOn w:val="DefaultParagraphFont"/>
    <w:link w:val="Heading3"/>
    <w:rsid w:val="00306778"/>
    <w:rPr>
      <w:rFonts w:ascii="Times New Roman" w:eastAsia="Times New Roman" w:hAnsi="Times New Roman" w:cs="Times New Roman"/>
      <w:b/>
      <w:sz w:val="22"/>
      <w:szCs w:val="20"/>
      <w:lang w:val="en-GB"/>
    </w:rPr>
  </w:style>
  <w:style w:type="character" w:customStyle="1" w:styleId="Heading4Char">
    <w:name w:val="Heading 4 Char"/>
    <w:basedOn w:val="DefaultParagraphFont"/>
    <w:link w:val="Heading4"/>
    <w:rsid w:val="00306778"/>
    <w:rPr>
      <w:rFonts w:ascii="Times New Roman" w:eastAsia="Times New Roman" w:hAnsi="Times New Roman" w:cs="Times New Roman"/>
      <w:sz w:val="22"/>
      <w:szCs w:val="20"/>
      <w:lang w:val="en-GB"/>
    </w:rPr>
  </w:style>
  <w:style w:type="character" w:customStyle="1" w:styleId="Heading5Char">
    <w:name w:val="Heading 5 Char"/>
    <w:basedOn w:val="DefaultParagraphFont"/>
    <w:link w:val="Heading5"/>
    <w:rsid w:val="00306778"/>
    <w:rPr>
      <w:rFonts w:ascii="Times New Roman" w:eastAsia="Times New Roman" w:hAnsi="Times New Roman" w:cs="Times New Roman"/>
      <w:i/>
      <w:sz w:val="22"/>
      <w:szCs w:val="20"/>
      <w:lang w:val="en-GB"/>
    </w:rPr>
  </w:style>
  <w:style w:type="character" w:customStyle="1" w:styleId="Heading6Char">
    <w:name w:val="Heading 6 Char"/>
    <w:basedOn w:val="DefaultParagraphFont"/>
    <w:link w:val="Heading6"/>
    <w:rsid w:val="00306778"/>
    <w:rPr>
      <w:rFonts w:ascii="Times New Roman" w:eastAsia="Times New Roman" w:hAnsi="Times New Roman" w:cs="Times New Roman"/>
    </w:rPr>
  </w:style>
  <w:style w:type="character" w:customStyle="1" w:styleId="Heading7Char">
    <w:name w:val="Heading 7 Char"/>
    <w:basedOn w:val="DefaultParagraphFont"/>
    <w:link w:val="Heading7"/>
    <w:rsid w:val="00306778"/>
    <w:rPr>
      <w:rFonts w:ascii="Times New Roman" w:eastAsia="Times New Roman" w:hAnsi="Times New Roman" w:cs="Times New Roman"/>
    </w:rPr>
  </w:style>
  <w:style w:type="character" w:customStyle="1" w:styleId="Heading8Char">
    <w:name w:val="Heading 8 Char"/>
    <w:basedOn w:val="DefaultParagraphFont"/>
    <w:link w:val="Heading8"/>
    <w:rsid w:val="00306778"/>
    <w:rPr>
      <w:rFonts w:ascii="Times New Roman" w:eastAsia="Times New Roman" w:hAnsi="Times New Roman" w:cs="Times New Roman"/>
      <w:i/>
      <w:iCs/>
    </w:rPr>
  </w:style>
  <w:style w:type="character" w:customStyle="1" w:styleId="Heading9Char">
    <w:name w:val="Heading 9 Char"/>
    <w:basedOn w:val="DefaultParagraphFont"/>
    <w:link w:val="Heading9"/>
    <w:rsid w:val="00306778"/>
    <w:rPr>
      <w:rFonts w:ascii="Arial" w:eastAsia="Times New Roman" w:hAnsi="Arial" w:cs="Arial"/>
      <w:sz w:val="22"/>
      <w:szCs w:val="22"/>
    </w:rPr>
  </w:style>
  <w:style w:type="paragraph" w:styleId="BodyText">
    <w:name w:val="Body Text"/>
    <w:basedOn w:val="Normal"/>
    <w:link w:val="BodyTextChar"/>
    <w:rsid w:val="00306778"/>
    <w:pPr>
      <w:widowControl/>
      <w:autoSpaceDE/>
      <w:autoSpaceDN/>
      <w:adjustRightInd/>
      <w:spacing w:after="240"/>
      <w:jc w:val="both"/>
    </w:pPr>
    <w:rPr>
      <w:sz w:val="22"/>
      <w:szCs w:val="22"/>
      <w:lang w:val="en-GB"/>
    </w:rPr>
  </w:style>
  <w:style w:type="character" w:customStyle="1" w:styleId="BodyTextChar">
    <w:name w:val="Body Text Char"/>
    <w:basedOn w:val="DefaultParagraphFont"/>
    <w:link w:val="BodyText"/>
    <w:rsid w:val="00306778"/>
    <w:rPr>
      <w:rFonts w:ascii="Times New Roman" w:eastAsia="Times New Roman" w:hAnsi="Times New Roman" w:cs="Times New Roman"/>
      <w:sz w:val="22"/>
      <w:szCs w:val="22"/>
      <w:lang w:val="en-GB"/>
    </w:rPr>
  </w:style>
  <w:style w:type="paragraph" w:customStyle="1" w:styleId="Style0">
    <w:name w:val="Style0"/>
    <w:rsid w:val="00306778"/>
    <w:pPr>
      <w:autoSpaceDE w:val="0"/>
      <w:autoSpaceDN w:val="0"/>
      <w:adjustRightInd w:val="0"/>
    </w:pPr>
    <w:rPr>
      <w:rFonts w:ascii="Arial" w:eastAsia="Times New Roman" w:hAnsi="Arial" w:cs="Times New Roman"/>
    </w:rPr>
  </w:style>
  <w:style w:type="paragraph" w:styleId="BodyTextIndent">
    <w:name w:val="Body Text Indent"/>
    <w:basedOn w:val="Normal"/>
    <w:link w:val="BodyTextIndentChar"/>
    <w:rsid w:val="00306778"/>
    <w:pPr>
      <w:spacing w:after="120"/>
      <w:ind w:left="360"/>
    </w:pPr>
  </w:style>
  <w:style w:type="character" w:customStyle="1" w:styleId="BodyTextIndentChar">
    <w:name w:val="Body Text Indent Char"/>
    <w:basedOn w:val="DefaultParagraphFont"/>
    <w:link w:val="BodyTextIndent"/>
    <w:rsid w:val="00306778"/>
    <w:rPr>
      <w:rFonts w:ascii="Times New Roman" w:eastAsia="Times New Roman" w:hAnsi="Times New Roman" w:cs="Times New Roman"/>
    </w:rPr>
  </w:style>
  <w:style w:type="paragraph" w:styleId="BalloonText">
    <w:name w:val="Balloon Text"/>
    <w:basedOn w:val="Normal"/>
    <w:link w:val="BalloonTextChar"/>
    <w:semiHidden/>
    <w:rsid w:val="00306778"/>
    <w:rPr>
      <w:rFonts w:ascii="Tahoma" w:hAnsi="Tahoma" w:cs="Tahoma"/>
      <w:sz w:val="16"/>
      <w:szCs w:val="16"/>
    </w:rPr>
  </w:style>
  <w:style w:type="character" w:customStyle="1" w:styleId="BalloonTextChar">
    <w:name w:val="Balloon Text Char"/>
    <w:basedOn w:val="DefaultParagraphFont"/>
    <w:link w:val="BalloonText"/>
    <w:semiHidden/>
    <w:rsid w:val="00306778"/>
    <w:rPr>
      <w:rFonts w:ascii="Tahoma" w:eastAsia="Times New Roman" w:hAnsi="Tahoma" w:cs="Tahoma"/>
      <w:sz w:val="16"/>
      <w:szCs w:val="16"/>
    </w:rPr>
  </w:style>
  <w:style w:type="paragraph" w:styleId="PlainText">
    <w:name w:val="Plain Text"/>
    <w:basedOn w:val="Normal"/>
    <w:link w:val="PlainTextChar"/>
    <w:uiPriority w:val="99"/>
    <w:rsid w:val="00306778"/>
    <w:pPr>
      <w:widowControl/>
      <w:autoSpaceDE/>
      <w:autoSpaceDN/>
      <w:adjustRightInd/>
    </w:pPr>
    <w:rPr>
      <w:rFonts w:ascii="Courier New" w:hAnsi="Courier New" w:cs="Courier New"/>
      <w:sz w:val="20"/>
      <w:szCs w:val="20"/>
    </w:rPr>
  </w:style>
  <w:style w:type="character" w:customStyle="1" w:styleId="PlainTextChar">
    <w:name w:val="Plain Text Char"/>
    <w:basedOn w:val="DefaultParagraphFont"/>
    <w:link w:val="PlainText"/>
    <w:uiPriority w:val="99"/>
    <w:rsid w:val="00306778"/>
    <w:rPr>
      <w:rFonts w:ascii="Courier New" w:eastAsia="Times New Roman" w:hAnsi="Courier New" w:cs="Courier New"/>
      <w:sz w:val="20"/>
      <w:szCs w:val="20"/>
    </w:rPr>
  </w:style>
  <w:style w:type="paragraph" w:styleId="Footer">
    <w:name w:val="footer"/>
    <w:basedOn w:val="Normal"/>
    <w:link w:val="FooterChar"/>
    <w:rsid w:val="00306778"/>
    <w:pPr>
      <w:tabs>
        <w:tab w:val="center" w:pos="4320"/>
        <w:tab w:val="right" w:pos="8640"/>
      </w:tabs>
    </w:pPr>
  </w:style>
  <w:style w:type="character" w:customStyle="1" w:styleId="FooterChar">
    <w:name w:val="Footer Char"/>
    <w:basedOn w:val="DefaultParagraphFont"/>
    <w:link w:val="Footer"/>
    <w:rsid w:val="00306778"/>
    <w:rPr>
      <w:rFonts w:ascii="Times New Roman" w:eastAsia="Times New Roman" w:hAnsi="Times New Roman" w:cs="Times New Roman"/>
    </w:rPr>
  </w:style>
  <w:style w:type="character" w:styleId="PageNumber">
    <w:name w:val="page number"/>
    <w:basedOn w:val="DefaultParagraphFont"/>
    <w:rsid w:val="00306778"/>
  </w:style>
  <w:style w:type="paragraph" w:styleId="ListParagraph">
    <w:name w:val="List Paragraph"/>
    <w:basedOn w:val="Normal"/>
    <w:uiPriority w:val="34"/>
    <w:qFormat/>
    <w:rsid w:val="00306778"/>
    <w:pPr>
      <w:widowControl/>
      <w:autoSpaceDE/>
      <w:autoSpaceDN/>
      <w:adjustRightInd/>
      <w:ind w:left="720"/>
      <w:contextualSpacing/>
    </w:pPr>
    <w:rPr>
      <w:rFonts w:ascii="Calibri" w:eastAsia="Calibri" w:hAnsi="Calibri"/>
      <w:sz w:val="22"/>
      <w:szCs w:val="22"/>
    </w:rPr>
  </w:style>
  <w:style w:type="character" w:styleId="CommentReference">
    <w:name w:val="annotation reference"/>
    <w:basedOn w:val="DefaultParagraphFont"/>
    <w:semiHidden/>
    <w:rsid w:val="00306778"/>
    <w:rPr>
      <w:sz w:val="16"/>
      <w:szCs w:val="16"/>
    </w:rPr>
  </w:style>
  <w:style w:type="paragraph" w:styleId="CommentText">
    <w:name w:val="annotation text"/>
    <w:basedOn w:val="Normal"/>
    <w:link w:val="CommentTextChar"/>
    <w:semiHidden/>
    <w:rsid w:val="00306778"/>
    <w:rPr>
      <w:sz w:val="20"/>
      <w:szCs w:val="20"/>
    </w:rPr>
  </w:style>
  <w:style w:type="character" w:customStyle="1" w:styleId="CommentTextChar">
    <w:name w:val="Comment Text Char"/>
    <w:basedOn w:val="DefaultParagraphFont"/>
    <w:link w:val="CommentText"/>
    <w:semiHidden/>
    <w:rsid w:val="0030677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306778"/>
    <w:rPr>
      <w:b/>
      <w:bCs/>
    </w:rPr>
  </w:style>
  <w:style w:type="character" w:customStyle="1" w:styleId="CommentSubjectChar">
    <w:name w:val="Comment Subject Char"/>
    <w:basedOn w:val="CommentTextChar"/>
    <w:link w:val="CommentSubject"/>
    <w:semiHidden/>
    <w:rsid w:val="00306778"/>
    <w:rPr>
      <w:b/>
      <w:bCs/>
    </w:rPr>
  </w:style>
  <w:style w:type="paragraph" w:styleId="Header">
    <w:name w:val="header"/>
    <w:basedOn w:val="Normal"/>
    <w:link w:val="HeaderChar"/>
    <w:rsid w:val="00306778"/>
    <w:pPr>
      <w:tabs>
        <w:tab w:val="center" w:pos="4320"/>
        <w:tab w:val="right" w:pos="8640"/>
      </w:tabs>
    </w:pPr>
  </w:style>
  <w:style w:type="character" w:customStyle="1" w:styleId="HeaderChar">
    <w:name w:val="Header Char"/>
    <w:basedOn w:val="DefaultParagraphFont"/>
    <w:link w:val="Header"/>
    <w:rsid w:val="00306778"/>
    <w:rPr>
      <w:rFonts w:ascii="Times New Roman" w:eastAsia="Times New Roman" w:hAnsi="Times New Roman" w:cs="Times New Roman"/>
    </w:rPr>
  </w:style>
  <w:style w:type="character" w:styleId="Hyperlink">
    <w:name w:val="Hyperlink"/>
    <w:basedOn w:val="DefaultParagraphFont"/>
    <w:uiPriority w:val="99"/>
    <w:unhideWhenUsed/>
    <w:rsid w:val="00306778"/>
    <w:rPr>
      <w:color w:val="0000FF"/>
      <w:u w:val="single"/>
    </w:rPr>
  </w:style>
  <w:style w:type="paragraph" w:customStyle="1" w:styleId="Default">
    <w:name w:val="Default"/>
    <w:rsid w:val="00306778"/>
    <w:pPr>
      <w:autoSpaceDE w:val="0"/>
      <w:autoSpaceDN w:val="0"/>
      <w:adjustRightInd w:val="0"/>
    </w:pPr>
    <w:rPr>
      <w:rFonts w:ascii="Times New Roman" w:eastAsia="Times New Roman" w:hAnsi="Times New Roman" w:cs="Times New Roman"/>
      <w:color w:val="000000"/>
    </w:rPr>
  </w:style>
  <w:style w:type="paragraph" w:styleId="Revision">
    <w:name w:val="Revision"/>
    <w:hidden/>
    <w:uiPriority w:val="99"/>
    <w:semiHidden/>
    <w:rsid w:val="00306778"/>
    <w:rPr>
      <w:rFonts w:ascii="Times New Roman" w:eastAsia="Times New Roman" w:hAnsi="Times New Roman" w:cs="Times New Roman"/>
    </w:rPr>
  </w:style>
  <w:style w:type="paragraph" w:styleId="NormalWeb">
    <w:name w:val="Normal (Web)"/>
    <w:basedOn w:val="Normal"/>
    <w:uiPriority w:val="99"/>
    <w:unhideWhenUsed/>
    <w:rsid w:val="00306778"/>
    <w:pPr>
      <w:widowControl/>
      <w:autoSpaceDE/>
      <w:autoSpaceDN/>
      <w:adjustRightInd/>
      <w:spacing w:before="100" w:beforeAutospacing="1" w:after="100" w:afterAutospacing="1"/>
    </w:pPr>
  </w:style>
  <w:style w:type="character" w:styleId="Emphasis">
    <w:name w:val="Emphasis"/>
    <w:basedOn w:val="DefaultParagraphFont"/>
    <w:uiPriority w:val="20"/>
    <w:qFormat/>
    <w:rsid w:val="00306778"/>
    <w:rPr>
      <w:i/>
      <w:iCs/>
    </w:rPr>
  </w:style>
  <w:style w:type="character" w:styleId="FootnoteReference">
    <w:name w:val="footnote reference"/>
    <w:basedOn w:val="DefaultParagraphFont"/>
    <w:rsid w:val="00306778"/>
    <w:rPr>
      <w:vertAlign w:val="superscript"/>
    </w:rPr>
  </w:style>
  <w:style w:type="paragraph" w:styleId="FootnoteText">
    <w:name w:val="footnote text"/>
    <w:basedOn w:val="Normal"/>
    <w:link w:val="FootnoteTextChar"/>
    <w:rsid w:val="00306778"/>
    <w:pPr>
      <w:widowControl/>
      <w:tabs>
        <w:tab w:val="left" w:pos="720"/>
      </w:tabs>
      <w:autoSpaceDE/>
      <w:autoSpaceDN/>
      <w:adjustRightInd/>
      <w:ind w:firstLine="720"/>
      <w:jc w:val="both"/>
    </w:pPr>
    <w:rPr>
      <w:sz w:val="20"/>
      <w:szCs w:val="20"/>
      <w:lang w:val="en-GB"/>
    </w:rPr>
  </w:style>
  <w:style w:type="character" w:customStyle="1" w:styleId="FootnoteTextChar">
    <w:name w:val="Footnote Text Char"/>
    <w:basedOn w:val="DefaultParagraphFont"/>
    <w:link w:val="FootnoteText"/>
    <w:rsid w:val="00306778"/>
    <w:rPr>
      <w:rFonts w:ascii="Times New Roman" w:eastAsia="Times New Roman" w:hAnsi="Times New Roman" w:cs="Times New Roman"/>
      <w:sz w:val="20"/>
      <w:szCs w:val="20"/>
      <w:lang w:val="en-GB"/>
    </w:rPr>
  </w:style>
  <w:style w:type="paragraph" w:customStyle="1" w:styleId="BodyText4">
    <w:name w:val="Body Text 4"/>
    <w:basedOn w:val="Normal"/>
    <w:rsid w:val="00306778"/>
    <w:pPr>
      <w:widowControl/>
      <w:tabs>
        <w:tab w:val="num" w:pos="2160"/>
      </w:tabs>
      <w:autoSpaceDE/>
      <w:autoSpaceDN/>
      <w:adjustRightInd/>
      <w:spacing w:after="240"/>
      <w:ind w:left="2160" w:hanging="720"/>
      <w:jc w:val="both"/>
    </w:pPr>
    <w:rPr>
      <w:sz w:val="22"/>
      <w:szCs w:val="20"/>
      <w:lang w:val="en-GB"/>
    </w:rPr>
  </w:style>
  <w:style w:type="paragraph" w:styleId="BodyText2">
    <w:name w:val="Body Text 2"/>
    <w:basedOn w:val="Normal"/>
    <w:link w:val="BodyText2Char"/>
    <w:rsid w:val="00306778"/>
    <w:pPr>
      <w:widowControl/>
      <w:tabs>
        <w:tab w:val="num" w:pos="1440"/>
      </w:tabs>
      <w:autoSpaceDE/>
      <w:autoSpaceDN/>
      <w:adjustRightInd/>
      <w:spacing w:after="240"/>
      <w:ind w:left="1440" w:hanging="720"/>
      <w:jc w:val="both"/>
    </w:pPr>
    <w:rPr>
      <w:sz w:val="22"/>
      <w:szCs w:val="20"/>
      <w:lang w:val="en-GB"/>
    </w:rPr>
  </w:style>
  <w:style w:type="character" w:customStyle="1" w:styleId="BodyText2Char">
    <w:name w:val="Body Text 2 Char"/>
    <w:basedOn w:val="DefaultParagraphFont"/>
    <w:link w:val="BodyText2"/>
    <w:rsid w:val="00306778"/>
    <w:rPr>
      <w:rFonts w:ascii="Times New Roman" w:eastAsia="Times New Roman" w:hAnsi="Times New Roman" w:cs="Times New Roman"/>
      <w:sz w:val="22"/>
      <w:szCs w:val="20"/>
      <w:lang w:val="en-GB"/>
    </w:rPr>
  </w:style>
  <w:style w:type="paragraph" w:styleId="BodyText3">
    <w:name w:val="Body Text 3"/>
    <w:basedOn w:val="Normal"/>
    <w:link w:val="BodyText3Char"/>
    <w:rsid w:val="00306778"/>
    <w:pPr>
      <w:widowControl/>
      <w:tabs>
        <w:tab w:val="num" w:pos="2160"/>
      </w:tabs>
      <w:autoSpaceDE/>
      <w:autoSpaceDN/>
      <w:adjustRightInd/>
      <w:spacing w:after="240"/>
      <w:ind w:left="2160" w:hanging="720"/>
      <w:jc w:val="both"/>
    </w:pPr>
    <w:rPr>
      <w:sz w:val="22"/>
      <w:szCs w:val="20"/>
      <w:lang w:val="en-GB"/>
    </w:rPr>
  </w:style>
  <w:style w:type="character" w:customStyle="1" w:styleId="BodyText3Char">
    <w:name w:val="Body Text 3 Char"/>
    <w:basedOn w:val="DefaultParagraphFont"/>
    <w:link w:val="BodyText3"/>
    <w:rsid w:val="00306778"/>
    <w:rPr>
      <w:rFonts w:ascii="Times New Roman" w:eastAsia="Times New Roman" w:hAnsi="Times New Roman" w:cs="Times New Roman"/>
      <w:sz w:val="22"/>
      <w:szCs w:val="20"/>
      <w:lang w:val="en-GB"/>
    </w:rPr>
  </w:style>
  <w:style w:type="paragraph" w:styleId="EndnoteText">
    <w:name w:val="endnote text"/>
    <w:basedOn w:val="Normal"/>
    <w:link w:val="EndnoteTextChar"/>
    <w:uiPriority w:val="99"/>
    <w:rsid w:val="00306778"/>
    <w:pPr>
      <w:widowControl/>
      <w:tabs>
        <w:tab w:val="left" w:pos="720"/>
      </w:tabs>
      <w:autoSpaceDE/>
      <w:autoSpaceDN/>
      <w:adjustRightInd/>
    </w:pPr>
    <w:rPr>
      <w:sz w:val="20"/>
      <w:szCs w:val="20"/>
      <w:lang w:val="en-GB"/>
    </w:rPr>
  </w:style>
  <w:style w:type="character" w:customStyle="1" w:styleId="EndnoteTextChar">
    <w:name w:val="Endnote Text Char"/>
    <w:basedOn w:val="DefaultParagraphFont"/>
    <w:link w:val="EndnoteText"/>
    <w:uiPriority w:val="99"/>
    <w:rsid w:val="00306778"/>
    <w:rPr>
      <w:rFonts w:ascii="Times New Roman" w:eastAsia="Times New Roman" w:hAnsi="Times New Roman" w:cs="Times New Roman"/>
      <w:sz w:val="20"/>
      <w:szCs w:val="20"/>
      <w:lang w:val="en-GB"/>
    </w:rPr>
  </w:style>
  <w:style w:type="character" w:styleId="EndnoteReference">
    <w:name w:val="endnote reference"/>
    <w:rsid w:val="00306778"/>
    <w:rPr>
      <w:vertAlign w:val="superscript"/>
    </w:rPr>
  </w:style>
  <w:style w:type="character" w:styleId="Strong">
    <w:name w:val="Strong"/>
    <w:uiPriority w:val="22"/>
    <w:qFormat/>
    <w:rsid w:val="00306778"/>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cience.nature.nps.gov/research/ac/ResearchInde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5386</Words>
  <Characters>30701</Characters>
  <Application>Microsoft Office Word</Application>
  <DocSecurity>0</DocSecurity>
  <Lines>255</Lines>
  <Paragraphs>72</Paragraphs>
  <ScaleCrop>false</ScaleCrop>
  <Company>USPTO</Company>
  <LinksUpToDate>false</LinksUpToDate>
  <CharactersWithSpaces>36015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Ferriter</dc:creator>
  <cp:keywords/>
  <cp:lastModifiedBy>Law User</cp:lastModifiedBy>
  <cp:revision>2</cp:revision>
  <dcterms:created xsi:type="dcterms:W3CDTF">2011-10-28T21:28:00Z</dcterms:created>
  <dcterms:modified xsi:type="dcterms:W3CDTF">2011-10-28T21:28:00Z</dcterms:modified>
</cp:coreProperties>
</file>